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1145" w14:textId="5317671C" w:rsidR="007C2DAF" w:rsidRDefault="00B83728" w:rsidP="007C2DAF">
      <w:pPr>
        <w:ind w:right="-2"/>
        <w:rPr>
          <w:lang w:val="fr-BE"/>
        </w:rPr>
      </w:pPr>
      <w:proofErr w:type="spellStart"/>
      <w:r w:rsidRPr="00B837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Sélection</w:t>
      </w:r>
      <w:proofErr w:type="spellEnd"/>
      <w:r w:rsidRPr="00B837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des </w:t>
      </w:r>
      <w:proofErr w:type="spellStart"/>
      <w:r w:rsidRPr="00B837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parrains</w:t>
      </w:r>
      <w:proofErr w:type="spellEnd"/>
      <w:r w:rsidRPr="00B837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et des </w:t>
      </w:r>
      <w:proofErr w:type="spellStart"/>
      <w:r w:rsidRPr="00B837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tuteurs</w:t>
      </w:r>
      <w:proofErr w:type="spellEnd"/>
    </w:p>
    <w:p w14:paraId="6C8459DB" w14:textId="6024D029" w:rsidR="00273A33" w:rsidRDefault="00273A33" w:rsidP="007C2DAF">
      <w:pPr>
        <w:ind w:right="-2"/>
        <w:rPr>
          <w:lang w:val="fr-BE"/>
        </w:rPr>
      </w:pPr>
    </w:p>
    <w:p w14:paraId="784A0E35" w14:textId="6A4D6A10" w:rsidR="00B83728" w:rsidRDefault="00B83728" w:rsidP="00B83728">
      <w:pPr>
        <w:ind w:right="-2"/>
        <w:rPr>
          <w:lang w:val="fr-FR"/>
        </w:rPr>
      </w:pPr>
      <w:r w:rsidRPr="00B83728">
        <w:rPr>
          <w:lang w:val="fr-FR"/>
        </w:rPr>
        <w:t xml:space="preserve">Vous voulez introduire un système de parrainage et/ou de tutorat dans votre entreprise et avez déterminé les rôles, les responsabilités et les compétences ? Dans ce cas, </w:t>
      </w:r>
      <w:proofErr w:type="gramStart"/>
      <w:r w:rsidRPr="00B83728">
        <w:rPr>
          <w:lang w:val="fr-FR"/>
        </w:rPr>
        <w:t>sélectionnez les</w:t>
      </w:r>
      <w:proofErr w:type="gramEnd"/>
      <w:r w:rsidRPr="00B83728">
        <w:rPr>
          <w:lang w:val="fr-FR"/>
        </w:rPr>
        <w:t xml:space="preserve"> parrains/marraines de la manière adéquate et tenez compte des critères suivants... </w:t>
      </w:r>
    </w:p>
    <w:p w14:paraId="36EAC819" w14:textId="77777777" w:rsidR="00B83728" w:rsidRPr="00B83728" w:rsidRDefault="00B83728" w:rsidP="00B83728">
      <w:pPr>
        <w:ind w:right="-2"/>
        <w:rPr>
          <w:lang w:val="fr-FR"/>
        </w:rPr>
      </w:pPr>
    </w:p>
    <w:p w14:paraId="4C10097B" w14:textId="77777777" w:rsidR="00B83728" w:rsidRPr="00B83728" w:rsidRDefault="00B83728" w:rsidP="00B83728">
      <w:pPr>
        <w:ind w:right="-2"/>
        <w:rPr>
          <w:b/>
          <w:bCs/>
          <w:i/>
          <w:iCs/>
          <w:lang w:val="fr-FR"/>
        </w:rPr>
      </w:pPr>
      <w:r w:rsidRPr="00B83728">
        <w:rPr>
          <w:b/>
          <w:bCs/>
          <w:i/>
          <w:iCs/>
          <w:lang w:val="fr-FR"/>
        </w:rPr>
        <w:t>Un parrain ou un tuteur idéal :</w:t>
      </w:r>
    </w:p>
    <w:p w14:paraId="1E4881D6" w14:textId="77777777" w:rsidR="00B83728" w:rsidRP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connaît</w:t>
      </w:r>
      <w:proofErr w:type="gramEnd"/>
      <w:r w:rsidRPr="00B83728">
        <w:rPr>
          <w:lang w:val="fr-FR"/>
        </w:rPr>
        <w:t xml:space="preserve"> bien les tâches, l’équipe et l’organisation</w:t>
      </w:r>
    </w:p>
    <w:p w14:paraId="5EA9B386" w14:textId="77777777" w:rsidR="00B83728" w:rsidRP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peut</w:t>
      </w:r>
      <w:proofErr w:type="gramEnd"/>
      <w:r w:rsidRPr="00B83728">
        <w:rPr>
          <w:lang w:val="fr-FR"/>
        </w:rPr>
        <w:t xml:space="preserve"> donner et expliquer clairement des instructions (pour le tuteur en particulier)</w:t>
      </w:r>
    </w:p>
    <w:p w14:paraId="2F591225" w14:textId="77777777" w:rsidR="00B83728" w:rsidRP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parle</w:t>
      </w:r>
      <w:proofErr w:type="gramEnd"/>
      <w:r w:rsidRPr="00B83728">
        <w:rPr>
          <w:lang w:val="fr-FR"/>
        </w:rPr>
        <w:t xml:space="preserve"> correctement et écoute</w:t>
      </w:r>
    </w:p>
    <w:p w14:paraId="0719CF97" w14:textId="77777777" w:rsidR="00B83728" w:rsidRP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motive</w:t>
      </w:r>
      <w:proofErr w:type="gramEnd"/>
      <w:r w:rsidRPr="00B83728">
        <w:rPr>
          <w:lang w:val="fr-FR"/>
        </w:rPr>
        <w:t xml:space="preserve"> et enthousiasme les gens </w:t>
      </w:r>
    </w:p>
    <w:p w14:paraId="043D8589" w14:textId="77777777" w:rsidR="00B83728" w:rsidRP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a</w:t>
      </w:r>
      <w:proofErr w:type="gramEnd"/>
      <w:r w:rsidRPr="00B83728">
        <w:rPr>
          <w:lang w:val="fr-FR"/>
        </w:rPr>
        <w:t xml:space="preserve"> une patience d’ange</w:t>
      </w:r>
    </w:p>
    <w:p w14:paraId="47389CA8" w14:textId="680B2A37" w:rsidR="00B83728" w:rsidRDefault="00B83728" w:rsidP="00B83728">
      <w:pPr>
        <w:numPr>
          <w:ilvl w:val="0"/>
          <w:numId w:val="1"/>
        </w:numPr>
        <w:ind w:right="-2"/>
        <w:rPr>
          <w:lang w:val="fr-FR"/>
        </w:rPr>
      </w:pPr>
      <w:proofErr w:type="gramStart"/>
      <w:r w:rsidRPr="00B83728">
        <w:rPr>
          <w:lang w:val="fr-FR"/>
        </w:rPr>
        <w:t>est</w:t>
      </w:r>
      <w:proofErr w:type="gramEnd"/>
      <w:r w:rsidRPr="00B83728">
        <w:rPr>
          <w:lang w:val="fr-FR"/>
        </w:rPr>
        <w:t xml:space="preserve"> facilement accessible</w:t>
      </w:r>
    </w:p>
    <w:p w14:paraId="0F5F7698" w14:textId="77777777" w:rsidR="00B83728" w:rsidRPr="00B83728" w:rsidRDefault="00B83728" w:rsidP="00B83728">
      <w:pPr>
        <w:ind w:left="720" w:right="-2"/>
        <w:rPr>
          <w:lang w:val="fr-FR"/>
        </w:rPr>
      </w:pPr>
    </w:p>
    <w:p w14:paraId="61DEA23C" w14:textId="5C556D4C" w:rsidR="00B83728" w:rsidRDefault="00B83728" w:rsidP="00B83728">
      <w:pPr>
        <w:ind w:right="-2"/>
        <w:rPr>
          <w:lang w:val="fr-FR"/>
        </w:rPr>
      </w:pPr>
      <w:r w:rsidRPr="00B83728">
        <w:rPr>
          <w:lang w:val="fr-FR"/>
        </w:rPr>
        <w:t>Bref : une personne alliant expérience, motivation, compétences communicationnelles et engagement !</w:t>
      </w:r>
    </w:p>
    <w:p w14:paraId="544EF2C5" w14:textId="77777777" w:rsidR="00B83728" w:rsidRPr="00B83728" w:rsidRDefault="00B83728" w:rsidP="00B83728">
      <w:pPr>
        <w:ind w:right="-2"/>
        <w:rPr>
          <w:lang w:val="fr-FR"/>
        </w:rPr>
      </w:pPr>
    </w:p>
    <w:p w14:paraId="16B8B092" w14:textId="1A4425FF" w:rsidR="00B83728" w:rsidRPr="00B83728" w:rsidRDefault="00B83728" w:rsidP="00B83728">
      <w:pPr>
        <w:ind w:right="-2"/>
        <w:rPr>
          <w:lang w:val="fr-FR"/>
        </w:rPr>
      </w:pPr>
      <w:r w:rsidRPr="00B83728">
        <w:rPr>
          <w:lang w:val="fr-FR"/>
        </w:rPr>
        <w:t>Menez un entretien avec le futur parrain ou tuteur. Prenez le temps de discuter du parrainage/tutorat et de clarifier les attentes mutuelles.</w:t>
      </w:r>
      <w:r>
        <w:rPr>
          <w:lang w:val="fr-FR"/>
        </w:rPr>
        <w:t xml:space="preserve"> </w:t>
      </w:r>
      <w:r w:rsidRPr="00B83728">
        <w:rPr>
          <w:lang w:val="fr-FR"/>
        </w:rPr>
        <w:t xml:space="preserve">Utilisez cette </w:t>
      </w:r>
      <w:r w:rsidRPr="00B83728">
        <w:rPr>
          <w:b/>
          <w:bCs/>
          <w:i/>
          <w:iCs/>
          <w:lang w:val="fr-FR"/>
        </w:rPr>
        <w:t>courte check-list</w:t>
      </w:r>
      <w:r w:rsidRPr="00B83728">
        <w:rPr>
          <w:lang w:val="fr-FR"/>
        </w:rPr>
        <w:t xml:space="preserve"> comme guide pour </w:t>
      </w:r>
      <w:r w:rsidRPr="00B83728">
        <w:rPr>
          <w:b/>
          <w:bCs/>
          <w:i/>
          <w:iCs/>
          <w:lang w:val="fr-FR"/>
        </w:rPr>
        <w:t xml:space="preserve">l’entretien de sélection </w:t>
      </w:r>
      <w:r w:rsidRPr="00B83728">
        <w:rPr>
          <w:lang w:val="fr-FR"/>
        </w:rPr>
        <w:t>:</w:t>
      </w:r>
    </w:p>
    <w:p w14:paraId="40E464F1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>Expliquez les tâches et les responsabilités concrètes du parrain ou du tuteur</w:t>
      </w:r>
    </w:p>
    <w:p w14:paraId="15014BD8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>Sondez l’intérêt et la motivation</w:t>
      </w:r>
    </w:p>
    <w:p w14:paraId="6DC74C39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 xml:space="preserve">Indiquez quels talents le travailleur pourra utiliser dans son rôle de parrain ou de tuteur </w:t>
      </w:r>
    </w:p>
    <w:p w14:paraId="11C40DBD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>Insistez sur les avantages du parrainage/tutorat : possibilité de partager des connaissances, variété des tâches, reconnaissance sociale, intervention financière éventuelle</w:t>
      </w:r>
    </w:p>
    <w:p w14:paraId="294FB5D9" w14:textId="7CB1823F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 xml:space="preserve">Expliquez sur quel soutien complémentaire le parrain/tuteur peut compter : formation, coaching, moments de </w:t>
      </w:r>
      <w:r w:rsidRPr="00B83728">
        <w:rPr>
          <w:lang w:val="fr-FR"/>
        </w:rPr>
        <w:t>networking, ...</w:t>
      </w:r>
    </w:p>
    <w:p w14:paraId="7200036C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 xml:space="preserve">Discutez des éventuels obstacles, comme le manque de temps ou, dans le cas du tuteur, la crainte de ne plus être utile une fois que les connaissances auront été transmises </w:t>
      </w:r>
    </w:p>
    <w:p w14:paraId="05902BEA" w14:textId="77777777" w:rsidR="00B83728" w:rsidRPr="00B83728" w:rsidRDefault="00B83728" w:rsidP="00B83728">
      <w:pPr>
        <w:numPr>
          <w:ilvl w:val="0"/>
          <w:numId w:val="2"/>
        </w:numPr>
        <w:ind w:right="-2"/>
        <w:rPr>
          <w:lang w:val="fr-FR"/>
        </w:rPr>
      </w:pPr>
      <w:r w:rsidRPr="00B83728">
        <w:rPr>
          <w:lang w:val="fr-FR"/>
        </w:rPr>
        <w:t xml:space="preserve">Clarifiez les rôles respectifs du service du personnel, du responsable hiérarchique, du parrain et du tuteur dans l’accueil de nouveaux travailleurs </w:t>
      </w:r>
    </w:p>
    <w:p w14:paraId="7F52A98E" w14:textId="77777777" w:rsidR="00B83728" w:rsidRPr="007C2DAF" w:rsidRDefault="00B83728" w:rsidP="007C2DAF">
      <w:pPr>
        <w:ind w:right="-2"/>
        <w:rPr>
          <w:lang w:val="fr-BE"/>
        </w:rPr>
      </w:pPr>
    </w:p>
    <w:sectPr w:rsidR="00B83728" w:rsidRPr="007C2DAF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27E9" w14:textId="77777777" w:rsidR="00B83728" w:rsidRDefault="00B83728" w:rsidP="009E54CE">
      <w:r>
        <w:separator/>
      </w:r>
    </w:p>
  </w:endnote>
  <w:endnote w:type="continuationSeparator" w:id="0">
    <w:p w14:paraId="4EBE697B" w14:textId="77777777" w:rsidR="00B83728" w:rsidRDefault="00B8372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16C6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6B38EDC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217C5B1A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25F0" w14:textId="77777777" w:rsidR="00B83728" w:rsidRDefault="00B83728" w:rsidP="009E54CE">
      <w:r>
        <w:separator/>
      </w:r>
    </w:p>
  </w:footnote>
  <w:footnote w:type="continuationSeparator" w:id="0">
    <w:p w14:paraId="723F662E" w14:textId="77777777" w:rsidR="00B83728" w:rsidRDefault="00B83728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A4A7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3FE8"/>
    <w:multiLevelType w:val="hybridMultilevel"/>
    <w:tmpl w:val="B5F8835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02B1B"/>
    <w:multiLevelType w:val="hybridMultilevel"/>
    <w:tmpl w:val="B18CF3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8272">
    <w:abstractNumId w:val="0"/>
  </w:num>
  <w:num w:numId="2" w16cid:durableId="144415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28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83728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64C89"/>
  <w15:chartTrackingRefBased/>
  <w15:docId w15:val="{DDDF5D93-A06F-4C3F-A2CA-D8C0EC01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2022-09-16T11:19:00Z</dcterms:created>
  <dcterms:modified xsi:type="dcterms:W3CDTF">2022-09-16T11:20:00Z</dcterms:modified>
</cp:coreProperties>
</file>