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D2" w:rsidRPr="007F1538" w:rsidRDefault="00A73AD2" w:rsidP="008E55B1">
      <w:pPr>
        <w:rPr>
          <w:lang w:val="fr-FR"/>
        </w:rPr>
      </w:pPr>
    </w:p>
    <w:p w:rsidR="008E55B1" w:rsidRPr="007F1538" w:rsidRDefault="008E55B1" w:rsidP="008E55B1">
      <w:pPr>
        <w:rPr>
          <w:lang w:val="fr-FR"/>
        </w:rPr>
      </w:pPr>
    </w:p>
    <w:p w:rsidR="008E55B1" w:rsidRPr="007F1538" w:rsidRDefault="008E55B1" w:rsidP="008E55B1">
      <w:pPr>
        <w:rPr>
          <w:lang w:val="fr-FR"/>
        </w:rPr>
      </w:pPr>
    </w:p>
    <w:p w:rsidR="008E55B1" w:rsidRPr="007F1538" w:rsidRDefault="008E55B1" w:rsidP="008E55B1">
      <w:pPr>
        <w:rPr>
          <w:lang w:val="fr-FR"/>
        </w:rPr>
      </w:pPr>
    </w:p>
    <w:p w:rsidR="008E55B1" w:rsidRPr="007F1538" w:rsidRDefault="008E55B1" w:rsidP="008E55B1">
      <w:pPr>
        <w:rPr>
          <w:lang w:val="fr-FR"/>
        </w:rPr>
      </w:pPr>
    </w:p>
    <w:p w:rsidR="008E55B1" w:rsidRPr="007F1538" w:rsidRDefault="008E55B1" w:rsidP="008E55B1">
      <w:pPr>
        <w:rPr>
          <w:lang w:val="fr-FR"/>
        </w:rPr>
      </w:pPr>
    </w:p>
    <w:p w:rsidR="008E55B1" w:rsidRPr="007F1538" w:rsidRDefault="008E55B1" w:rsidP="008E55B1">
      <w:pPr>
        <w:rPr>
          <w:lang w:val="fr-FR"/>
        </w:rPr>
      </w:pPr>
    </w:p>
    <w:p w:rsidR="00A73AD2" w:rsidRPr="007F1538" w:rsidRDefault="00A73AD2">
      <w:pPr>
        <w:rPr>
          <w:rFonts w:cs="Arial"/>
          <w:lang w:val="fr-FR"/>
        </w:rPr>
      </w:pPr>
    </w:p>
    <w:p w:rsidR="00A73AD2" w:rsidRPr="007F1538" w:rsidRDefault="00A73AD2">
      <w:pPr>
        <w:rPr>
          <w:lang w:val="fr-FR"/>
        </w:rPr>
      </w:pPr>
    </w:p>
    <w:p w:rsidR="00A73AD2" w:rsidRPr="007F1538" w:rsidRDefault="00A73AD2">
      <w:pPr>
        <w:rPr>
          <w:lang w:val="fr-FR"/>
        </w:rPr>
      </w:pPr>
    </w:p>
    <w:p w:rsidR="009C3C4F" w:rsidRPr="007F1538" w:rsidRDefault="007D7D6E" w:rsidP="007D7D6E">
      <w:pPr>
        <w:jc w:val="center"/>
        <w:rPr>
          <w:lang w:val="fr-FR"/>
        </w:rPr>
      </w:pPr>
      <w:r>
        <w:rPr>
          <w:noProof/>
          <w:lang w:eastAsia="nl-BE"/>
        </w:rPr>
        <w:drawing>
          <wp:inline distT="0" distB="0" distL="0" distR="0">
            <wp:extent cx="2460366" cy="1518293"/>
            <wp:effectExtent l="19050" t="0" r="0" b="0"/>
            <wp:docPr id="7" name="Picture 6" descr="IFP +_da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P +_dax.bmp"/>
                    <pic:cNvPicPr/>
                  </pic:nvPicPr>
                  <pic:blipFill>
                    <a:blip r:embed="rId8" cstate="print"/>
                    <a:stretch>
                      <a:fillRect/>
                    </a:stretch>
                  </pic:blipFill>
                  <pic:spPr>
                    <a:xfrm>
                      <a:off x="0" y="0"/>
                      <a:ext cx="2460366" cy="1518293"/>
                    </a:xfrm>
                    <a:prstGeom prst="rect">
                      <a:avLst/>
                    </a:prstGeom>
                  </pic:spPr>
                </pic:pic>
              </a:graphicData>
            </a:graphic>
          </wp:inline>
        </w:drawing>
      </w:r>
    </w:p>
    <w:p w:rsidR="009C3C4F" w:rsidRPr="007F1538" w:rsidRDefault="009C3C4F">
      <w:pPr>
        <w:rPr>
          <w:lang w:val="fr-FR"/>
        </w:rPr>
      </w:pPr>
    </w:p>
    <w:p w:rsidR="009C3C4F" w:rsidRPr="007F1538" w:rsidRDefault="009C3C4F">
      <w:pPr>
        <w:rPr>
          <w:lang w:val="fr-FR"/>
        </w:rPr>
      </w:pPr>
    </w:p>
    <w:p w:rsidR="009C3C4F" w:rsidRPr="007F1538" w:rsidRDefault="009C3C4F">
      <w:pPr>
        <w:rPr>
          <w:lang w:val="fr-FR"/>
        </w:rPr>
      </w:pPr>
    </w:p>
    <w:p w:rsidR="009C3C4F" w:rsidRPr="007F1538" w:rsidRDefault="009C3C4F">
      <w:pPr>
        <w:rPr>
          <w:lang w:val="fr-FR"/>
        </w:rPr>
      </w:pPr>
    </w:p>
    <w:p w:rsidR="009C3C4F" w:rsidRPr="007F1538" w:rsidRDefault="009C3C4F">
      <w:pPr>
        <w:rPr>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316BF5" w:rsidRPr="007F1538" w:rsidRDefault="00316BF5" w:rsidP="00CB2A94">
      <w:pPr>
        <w:jc w:val="center"/>
        <w:rPr>
          <w:rFonts w:cs="Arial"/>
          <w:lang w:val="fr-FR"/>
        </w:rPr>
      </w:pPr>
    </w:p>
    <w:p w:rsidR="00BA2FAD" w:rsidRPr="007F1538" w:rsidRDefault="00BA2FAD" w:rsidP="00CB2A94">
      <w:pPr>
        <w:jc w:val="center"/>
        <w:rPr>
          <w:rFonts w:cs="Arial"/>
          <w:lang w:val="fr-FR"/>
        </w:rPr>
      </w:pPr>
    </w:p>
    <w:p w:rsidR="00BA2FAD" w:rsidRPr="007F1538" w:rsidRDefault="00BA2FAD" w:rsidP="00CB2A94">
      <w:pPr>
        <w:jc w:val="center"/>
        <w:rPr>
          <w:rFonts w:cs="Arial"/>
          <w:lang w:val="fr-FR"/>
        </w:rPr>
      </w:pPr>
    </w:p>
    <w:p w:rsidR="009C3C4F" w:rsidRPr="007F1538" w:rsidRDefault="00997CCD" w:rsidP="00BA2FAD">
      <w:pPr>
        <w:jc w:val="center"/>
        <w:rPr>
          <w:rFonts w:cs="Arial"/>
          <w:sz w:val="32"/>
          <w:szCs w:val="32"/>
          <w:lang w:val="fr-FR"/>
        </w:rPr>
      </w:pPr>
      <w:r w:rsidRPr="007F1538">
        <w:rPr>
          <w:rFonts w:cs="Arial"/>
          <w:sz w:val="32"/>
          <w:szCs w:val="32"/>
          <w:lang w:val="fr-FR"/>
        </w:rPr>
        <w:t>Efforts en matière de formation dans l’industrie alimentaire</w:t>
      </w:r>
    </w:p>
    <w:p w:rsidR="00A73AD2" w:rsidRPr="007F1538" w:rsidRDefault="00A73AD2"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96025A" w:rsidRPr="007F1538" w:rsidRDefault="0096025A" w:rsidP="00BA2FAD">
      <w:pPr>
        <w:jc w:val="center"/>
        <w:rPr>
          <w:rFonts w:cs="Arial"/>
          <w:lang w:val="fr-FR"/>
        </w:rPr>
      </w:pPr>
    </w:p>
    <w:p w:rsidR="00BA2FAD" w:rsidRPr="007F1538" w:rsidRDefault="00997CCD" w:rsidP="00BA2FAD">
      <w:pPr>
        <w:jc w:val="center"/>
        <w:rPr>
          <w:rFonts w:cs="Arial"/>
          <w:lang w:val="fr-FR"/>
        </w:rPr>
      </w:pPr>
      <w:r w:rsidRPr="007F1538">
        <w:rPr>
          <w:rFonts w:cs="Arial"/>
          <w:lang w:val="fr-FR"/>
        </w:rPr>
        <w:t>RAPPORT ANNUEL 2009</w:t>
      </w:r>
    </w:p>
    <w:p w:rsidR="00BA2FAD" w:rsidRPr="007F1538" w:rsidRDefault="00997CCD" w:rsidP="00BA2FAD">
      <w:pPr>
        <w:jc w:val="center"/>
        <w:rPr>
          <w:rFonts w:cs="Arial"/>
          <w:lang w:val="fr-FR"/>
        </w:rPr>
      </w:pPr>
      <w:r w:rsidRPr="007F1538">
        <w:rPr>
          <w:rFonts w:cs="Arial"/>
          <w:lang w:val="fr-FR"/>
        </w:rPr>
        <w:t>PERSPECTIVES 2010</w:t>
      </w:r>
    </w:p>
    <w:p w:rsidR="00BA2FAD" w:rsidRPr="007F1538" w:rsidRDefault="00BA2FAD" w:rsidP="00BA2FAD">
      <w:pPr>
        <w:jc w:val="center"/>
        <w:rPr>
          <w:rFonts w:cs="Arial"/>
          <w:lang w:val="fr-FR"/>
        </w:rPr>
      </w:pPr>
    </w:p>
    <w:p w:rsidR="00BA2FAD" w:rsidRPr="007F1538" w:rsidRDefault="00BA2FAD" w:rsidP="00BA2FAD">
      <w:pPr>
        <w:jc w:val="center"/>
        <w:rPr>
          <w:rFonts w:cs="Arial"/>
          <w:lang w:val="fr-FR"/>
        </w:rPr>
      </w:pPr>
    </w:p>
    <w:p w:rsidR="00BA2FAD" w:rsidRPr="007F1538" w:rsidRDefault="00BA2FAD" w:rsidP="00BA2FAD">
      <w:pPr>
        <w:jc w:val="center"/>
        <w:rPr>
          <w:rFonts w:cs="Arial"/>
          <w:lang w:val="fr-FR"/>
        </w:rPr>
      </w:pPr>
    </w:p>
    <w:p w:rsidR="00BA2FAD" w:rsidRPr="007F1538" w:rsidRDefault="00BA2FAD" w:rsidP="00AE0C82">
      <w:pPr>
        <w:jc w:val="center"/>
        <w:rPr>
          <w:rFonts w:cs="Arial"/>
          <w:lang w:val="fr-FR"/>
        </w:rPr>
      </w:pPr>
    </w:p>
    <w:p w:rsidR="00A73AD2" w:rsidRPr="007F1538" w:rsidRDefault="00A73AD2" w:rsidP="00AE0C82">
      <w:pPr>
        <w:jc w:val="center"/>
        <w:rPr>
          <w:rFonts w:cs="Arial"/>
          <w:lang w:val="fr-FR"/>
        </w:rPr>
      </w:pPr>
    </w:p>
    <w:p w:rsidR="00BA2FAD" w:rsidRPr="007F1538" w:rsidRDefault="00BA2FAD" w:rsidP="00AE0C82">
      <w:pPr>
        <w:jc w:val="center"/>
        <w:rPr>
          <w:rFonts w:cs="Arial"/>
          <w:lang w:val="fr-FR"/>
        </w:rPr>
      </w:pPr>
    </w:p>
    <w:p w:rsidR="00BA2FAD" w:rsidRPr="007F1538" w:rsidRDefault="00BA2FAD" w:rsidP="00AE0C82">
      <w:pPr>
        <w:jc w:val="center"/>
        <w:rPr>
          <w:rFonts w:cs="Arial"/>
          <w:lang w:val="fr-FR"/>
        </w:rPr>
      </w:pPr>
    </w:p>
    <w:p w:rsidR="00A73AD2" w:rsidRPr="007F1538" w:rsidRDefault="00A73AD2" w:rsidP="00AE0C82">
      <w:pPr>
        <w:jc w:val="center"/>
        <w:rPr>
          <w:rFonts w:cs="Arial"/>
          <w:lang w:val="fr-FR"/>
        </w:rPr>
      </w:pPr>
    </w:p>
    <w:p w:rsidR="00A73AD2" w:rsidRPr="007F1538" w:rsidRDefault="00997CCD" w:rsidP="00AE0C82">
      <w:pPr>
        <w:jc w:val="center"/>
        <w:rPr>
          <w:rFonts w:cs="Arial"/>
          <w:lang w:val="fr-FR"/>
        </w:rPr>
      </w:pPr>
      <w:r w:rsidRPr="007F1538">
        <w:rPr>
          <w:rFonts w:cs="Arial"/>
          <w:lang w:val="fr-FR"/>
        </w:rPr>
        <w:t>Rue de Birmingham 225</w:t>
      </w:r>
    </w:p>
    <w:p w:rsidR="00A73AD2" w:rsidRPr="00F91283" w:rsidRDefault="00997CCD" w:rsidP="00AE0C82">
      <w:pPr>
        <w:jc w:val="center"/>
        <w:rPr>
          <w:rFonts w:cs="Arial"/>
        </w:rPr>
      </w:pPr>
      <w:r w:rsidRPr="00F91283">
        <w:rPr>
          <w:rFonts w:cs="Arial"/>
        </w:rPr>
        <w:t>1070 ANDERLECHT</w:t>
      </w:r>
    </w:p>
    <w:p w:rsidR="00A73AD2" w:rsidRPr="000C54ED" w:rsidRDefault="00997CCD" w:rsidP="00AE0C82">
      <w:pPr>
        <w:jc w:val="center"/>
        <w:rPr>
          <w:rFonts w:cs="Arial"/>
        </w:rPr>
      </w:pPr>
      <w:r w:rsidRPr="000C54ED">
        <w:rPr>
          <w:rFonts w:cs="Arial"/>
        </w:rPr>
        <w:t>Tél.:</w:t>
      </w:r>
      <w:r w:rsidR="005E0D3F" w:rsidRPr="000C54ED">
        <w:rPr>
          <w:rFonts w:cs="Arial"/>
        </w:rPr>
        <w:t xml:space="preserve"> </w:t>
      </w:r>
      <w:r w:rsidRPr="000C54ED">
        <w:rPr>
          <w:rFonts w:cs="Arial"/>
        </w:rPr>
        <w:t>02 52 88 9</w:t>
      </w:r>
      <w:r w:rsidR="00F91283" w:rsidRPr="000C54ED">
        <w:rPr>
          <w:rFonts w:cs="Arial"/>
        </w:rPr>
        <w:t>5</w:t>
      </w:r>
      <w:r w:rsidRPr="000C54ED">
        <w:rPr>
          <w:rFonts w:cs="Arial"/>
        </w:rPr>
        <w:t>0 - Fax:</w:t>
      </w:r>
      <w:r w:rsidR="00BA2FAD" w:rsidRPr="000C54ED">
        <w:rPr>
          <w:rFonts w:cs="Arial"/>
        </w:rPr>
        <w:t xml:space="preserve"> 02</w:t>
      </w:r>
      <w:r w:rsidR="00A73AD2" w:rsidRPr="000C54ED">
        <w:rPr>
          <w:rFonts w:cs="Arial"/>
        </w:rPr>
        <w:t xml:space="preserve"> 52</w:t>
      </w:r>
      <w:r w:rsidR="00BA2FAD" w:rsidRPr="000C54ED">
        <w:rPr>
          <w:rFonts w:cs="Arial"/>
        </w:rPr>
        <w:t xml:space="preserve"> </w:t>
      </w:r>
      <w:r w:rsidR="00A73AD2" w:rsidRPr="000C54ED">
        <w:rPr>
          <w:rFonts w:cs="Arial"/>
        </w:rPr>
        <w:t>88</w:t>
      </w:r>
      <w:r w:rsidR="00BA2FAD" w:rsidRPr="000C54ED">
        <w:rPr>
          <w:rFonts w:cs="Arial"/>
        </w:rPr>
        <w:t xml:space="preserve"> 9</w:t>
      </w:r>
      <w:r w:rsidR="007D7D6E" w:rsidRPr="000C54ED">
        <w:rPr>
          <w:rFonts w:cs="Arial"/>
        </w:rPr>
        <w:t>5</w:t>
      </w:r>
      <w:r w:rsidR="00F91283" w:rsidRPr="000C54ED">
        <w:rPr>
          <w:rFonts w:cs="Arial"/>
        </w:rPr>
        <w:t>5</w:t>
      </w:r>
    </w:p>
    <w:p w:rsidR="00A73AD2" w:rsidRPr="000C54ED" w:rsidRDefault="00997CCD" w:rsidP="00AE0C82">
      <w:pPr>
        <w:jc w:val="center"/>
        <w:rPr>
          <w:rFonts w:cs="Arial"/>
          <w:b/>
        </w:rPr>
      </w:pPr>
      <w:r w:rsidRPr="000C54ED">
        <w:rPr>
          <w:rFonts w:cs="Arial"/>
          <w:szCs w:val="24"/>
          <w:lang w:eastAsia="pl-PL"/>
        </w:rPr>
        <w:t>info@ipv</w:t>
      </w:r>
      <w:r w:rsidR="007D7D6E" w:rsidRPr="000C54ED">
        <w:rPr>
          <w:rFonts w:cs="Arial"/>
          <w:szCs w:val="24"/>
          <w:lang w:eastAsia="pl-PL"/>
        </w:rPr>
        <w:t>-ifp</w:t>
      </w:r>
      <w:r w:rsidRPr="000C54ED">
        <w:rPr>
          <w:rFonts w:cs="Arial"/>
          <w:szCs w:val="24"/>
          <w:lang w:eastAsia="pl-PL"/>
        </w:rPr>
        <w:t>.be</w:t>
      </w:r>
      <w:r w:rsidRPr="000C54ED">
        <w:rPr>
          <w:rFonts w:cs="Arial"/>
          <w:b/>
        </w:rPr>
        <w:t xml:space="preserve"> - </w:t>
      </w:r>
      <w:r w:rsidRPr="000C54ED">
        <w:rPr>
          <w:rFonts w:cs="Arial"/>
          <w:szCs w:val="24"/>
          <w:lang w:eastAsia="pl-PL"/>
        </w:rPr>
        <w:t>www.ipv</w:t>
      </w:r>
      <w:r w:rsidR="007D7D6E" w:rsidRPr="000C54ED">
        <w:rPr>
          <w:rFonts w:cs="Arial"/>
          <w:szCs w:val="24"/>
          <w:lang w:eastAsia="pl-PL"/>
        </w:rPr>
        <w:t>-ifp</w:t>
      </w:r>
      <w:r w:rsidRPr="000C54ED">
        <w:rPr>
          <w:rFonts w:cs="Arial"/>
          <w:szCs w:val="24"/>
          <w:lang w:eastAsia="pl-PL"/>
        </w:rPr>
        <w:t>.be</w:t>
      </w:r>
    </w:p>
    <w:p w:rsidR="0045691D" w:rsidRPr="000C54ED" w:rsidRDefault="0045691D">
      <w:pPr>
        <w:tabs>
          <w:tab w:val="left" w:pos="360"/>
        </w:tabs>
        <w:jc w:val="both"/>
        <w:rPr>
          <w:rFonts w:cs="Arial"/>
          <w:b/>
        </w:rPr>
      </w:pPr>
    </w:p>
    <w:p w:rsidR="007155CF" w:rsidRPr="007F1538" w:rsidRDefault="00A73AD2" w:rsidP="007155CF">
      <w:pPr>
        <w:rPr>
          <w:b/>
          <w:sz w:val="28"/>
          <w:szCs w:val="28"/>
          <w:lang w:val="fr-FR"/>
        </w:rPr>
      </w:pPr>
      <w:r w:rsidRPr="000C54ED">
        <w:br w:type="page"/>
      </w:r>
      <w:r w:rsidR="00997CCD" w:rsidRPr="007F1538">
        <w:rPr>
          <w:b/>
          <w:sz w:val="28"/>
          <w:szCs w:val="28"/>
          <w:lang w:val="fr-FR"/>
        </w:rPr>
        <w:lastRenderedPageBreak/>
        <w:t>Table des matières</w:t>
      </w:r>
    </w:p>
    <w:p w:rsidR="009211E0" w:rsidRPr="007F1538" w:rsidRDefault="009211E0" w:rsidP="009211E0">
      <w:pPr>
        <w:tabs>
          <w:tab w:val="left" w:leader="dot" w:pos="8460"/>
        </w:tabs>
        <w:rPr>
          <w:lang w:val="fr-FR"/>
        </w:rPr>
      </w:pPr>
    </w:p>
    <w:p w:rsidR="00A87CD3" w:rsidRPr="007F1538" w:rsidRDefault="00A87CD3">
      <w:pPr>
        <w:rPr>
          <w:lang w:val="fr-FR"/>
        </w:rPr>
      </w:pPr>
    </w:p>
    <w:p w:rsidR="00155756" w:rsidRDefault="006B3391">
      <w:pPr>
        <w:pStyle w:val="TOC1"/>
        <w:tabs>
          <w:tab w:val="left" w:pos="400"/>
          <w:tab w:val="right" w:leader="dot" w:pos="9060"/>
        </w:tabs>
        <w:rPr>
          <w:rFonts w:asciiTheme="minorHAnsi" w:eastAsiaTheme="minorEastAsia" w:hAnsiTheme="minorHAnsi" w:cstheme="minorBidi"/>
          <w:bCs w:val="0"/>
          <w:noProof/>
          <w:sz w:val="22"/>
          <w:szCs w:val="22"/>
          <w:lang w:eastAsia="nl-BE"/>
        </w:rPr>
      </w:pPr>
      <w:r w:rsidRPr="006B3391">
        <w:rPr>
          <w:lang w:val="fr-FR"/>
        </w:rPr>
        <w:fldChar w:fldCharType="begin"/>
      </w:r>
      <w:r w:rsidR="00155756">
        <w:rPr>
          <w:lang w:val="fr-FR"/>
        </w:rPr>
        <w:instrText xml:space="preserve"> TOC \o "1-3" \h \z \u </w:instrText>
      </w:r>
      <w:r w:rsidRPr="006B3391">
        <w:rPr>
          <w:lang w:val="fr-FR"/>
        </w:rPr>
        <w:fldChar w:fldCharType="separate"/>
      </w:r>
      <w:hyperlink w:anchor="_Toc269220669" w:history="1">
        <w:r w:rsidR="00155756" w:rsidRPr="00C3251D">
          <w:rPr>
            <w:rStyle w:val="Hyperlink"/>
            <w:noProof/>
            <w:lang w:val="fr-FR"/>
          </w:rPr>
          <w:t>1.</w:t>
        </w:r>
        <w:r w:rsidR="00155756">
          <w:rPr>
            <w:rFonts w:asciiTheme="minorHAnsi" w:eastAsiaTheme="minorEastAsia" w:hAnsiTheme="minorHAnsi" w:cstheme="minorBidi"/>
            <w:bCs w:val="0"/>
            <w:noProof/>
            <w:sz w:val="22"/>
            <w:szCs w:val="22"/>
            <w:lang w:eastAsia="nl-BE"/>
          </w:rPr>
          <w:tab/>
        </w:r>
        <w:r w:rsidR="00155756" w:rsidRPr="00C3251D">
          <w:rPr>
            <w:rStyle w:val="Hyperlink"/>
            <w:noProof/>
            <w:lang w:val="fr-FR"/>
          </w:rPr>
          <w:t>Avant-propos</w:t>
        </w:r>
        <w:r w:rsidR="00155756">
          <w:rPr>
            <w:noProof/>
            <w:webHidden/>
          </w:rPr>
          <w:tab/>
        </w:r>
        <w:r>
          <w:rPr>
            <w:noProof/>
            <w:webHidden/>
          </w:rPr>
          <w:fldChar w:fldCharType="begin"/>
        </w:r>
        <w:r w:rsidR="00155756">
          <w:rPr>
            <w:noProof/>
            <w:webHidden/>
          </w:rPr>
          <w:instrText xml:space="preserve"> PAGEREF _Toc269220669 \h </w:instrText>
        </w:r>
        <w:r>
          <w:rPr>
            <w:noProof/>
            <w:webHidden/>
          </w:rPr>
        </w:r>
        <w:r>
          <w:rPr>
            <w:noProof/>
            <w:webHidden/>
          </w:rPr>
          <w:fldChar w:fldCharType="separate"/>
        </w:r>
        <w:r w:rsidR="00155756">
          <w:rPr>
            <w:noProof/>
            <w:webHidden/>
          </w:rPr>
          <w:t>4</w:t>
        </w:r>
        <w:r>
          <w:rPr>
            <w:noProof/>
            <w:webHidden/>
          </w:rPr>
          <w:fldChar w:fldCharType="end"/>
        </w:r>
      </w:hyperlink>
    </w:p>
    <w:p w:rsidR="00155756" w:rsidRDefault="006B3391">
      <w:pPr>
        <w:pStyle w:val="TOC1"/>
        <w:tabs>
          <w:tab w:val="left" w:pos="400"/>
          <w:tab w:val="right" w:leader="dot" w:pos="9060"/>
        </w:tabs>
        <w:rPr>
          <w:rFonts w:asciiTheme="minorHAnsi" w:eastAsiaTheme="minorEastAsia" w:hAnsiTheme="minorHAnsi" w:cstheme="minorBidi"/>
          <w:bCs w:val="0"/>
          <w:noProof/>
          <w:sz w:val="22"/>
          <w:szCs w:val="22"/>
          <w:lang w:eastAsia="nl-BE"/>
        </w:rPr>
      </w:pPr>
      <w:hyperlink w:anchor="_Toc269220670" w:history="1">
        <w:r w:rsidR="00155756" w:rsidRPr="00C3251D">
          <w:rPr>
            <w:rStyle w:val="Hyperlink"/>
            <w:noProof/>
            <w:lang w:val="fr-FR"/>
          </w:rPr>
          <w:t>2.</w:t>
        </w:r>
        <w:r w:rsidR="00155756">
          <w:rPr>
            <w:rFonts w:asciiTheme="minorHAnsi" w:eastAsiaTheme="minorEastAsia" w:hAnsiTheme="minorHAnsi" w:cstheme="minorBidi"/>
            <w:bCs w:val="0"/>
            <w:noProof/>
            <w:sz w:val="22"/>
            <w:szCs w:val="22"/>
            <w:lang w:eastAsia="nl-BE"/>
          </w:rPr>
          <w:tab/>
        </w:r>
        <w:r w:rsidR="00155756" w:rsidRPr="00C3251D">
          <w:rPr>
            <w:rStyle w:val="Hyperlink"/>
            <w:noProof/>
            <w:lang w:val="fr-FR"/>
          </w:rPr>
          <w:t>Formations dans l’industrie alimentaire</w:t>
        </w:r>
        <w:r w:rsidR="00155756">
          <w:rPr>
            <w:noProof/>
            <w:webHidden/>
          </w:rPr>
          <w:tab/>
        </w:r>
        <w:r>
          <w:rPr>
            <w:noProof/>
            <w:webHidden/>
          </w:rPr>
          <w:fldChar w:fldCharType="begin"/>
        </w:r>
        <w:r w:rsidR="00155756">
          <w:rPr>
            <w:noProof/>
            <w:webHidden/>
          </w:rPr>
          <w:instrText xml:space="preserve"> PAGEREF _Toc269220670 \h </w:instrText>
        </w:r>
        <w:r>
          <w:rPr>
            <w:noProof/>
            <w:webHidden/>
          </w:rPr>
        </w:r>
        <w:r>
          <w:rPr>
            <w:noProof/>
            <w:webHidden/>
          </w:rPr>
          <w:fldChar w:fldCharType="separate"/>
        </w:r>
        <w:r w:rsidR="00155756">
          <w:rPr>
            <w:noProof/>
            <w:webHidden/>
          </w:rPr>
          <w:t>5</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71" w:history="1">
        <w:r w:rsidR="00155756" w:rsidRPr="00C3251D">
          <w:rPr>
            <w:rStyle w:val="Hyperlink"/>
            <w:noProof/>
            <w:lang w:val="fr-FR"/>
          </w:rPr>
          <w:t>2.1.</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Efforts de formation dans le secteur en Belgique</w:t>
        </w:r>
        <w:r w:rsidR="00155756">
          <w:rPr>
            <w:noProof/>
            <w:webHidden/>
          </w:rPr>
          <w:tab/>
        </w:r>
        <w:r>
          <w:rPr>
            <w:noProof/>
            <w:webHidden/>
          </w:rPr>
          <w:fldChar w:fldCharType="begin"/>
        </w:r>
        <w:r w:rsidR="00155756">
          <w:rPr>
            <w:noProof/>
            <w:webHidden/>
          </w:rPr>
          <w:instrText xml:space="preserve"> PAGEREF _Toc269220671 \h </w:instrText>
        </w:r>
        <w:r>
          <w:rPr>
            <w:noProof/>
            <w:webHidden/>
          </w:rPr>
        </w:r>
        <w:r>
          <w:rPr>
            <w:noProof/>
            <w:webHidden/>
          </w:rPr>
          <w:fldChar w:fldCharType="separate"/>
        </w:r>
        <w:r w:rsidR="00155756">
          <w:rPr>
            <w:noProof/>
            <w:webHidden/>
          </w:rPr>
          <w:t>5</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72" w:history="1">
        <w:r w:rsidR="00155756" w:rsidRPr="00C3251D">
          <w:rPr>
            <w:rStyle w:val="Hyperlink"/>
            <w:noProof/>
            <w:lang w:val="fr-FR"/>
          </w:rPr>
          <w:t>2.2.</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Efforts de formation en comparaison avec d’autres secteurs.</w:t>
        </w:r>
        <w:r w:rsidR="00155756">
          <w:rPr>
            <w:noProof/>
            <w:webHidden/>
          </w:rPr>
          <w:tab/>
        </w:r>
        <w:r>
          <w:rPr>
            <w:noProof/>
            <w:webHidden/>
          </w:rPr>
          <w:fldChar w:fldCharType="begin"/>
        </w:r>
        <w:r w:rsidR="00155756">
          <w:rPr>
            <w:noProof/>
            <w:webHidden/>
          </w:rPr>
          <w:instrText xml:space="preserve"> PAGEREF _Toc269220672 \h </w:instrText>
        </w:r>
        <w:r>
          <w:rPr>
            <w:noProof/>
            <w:webHidden/>
          </w:rPr>
        </w:r>
        <w:r>
          <w:rPr>
            <w:noProof/>
            <w:webHidden/>
          </w:rPr>
          <w:fldChar w:fldCharType="separate"/>
        </w:r>
        <w:r w:rsidR="00155756">
          <w:rPr>
            <w:noProof/>
            <w:webHidden/>
          </w:rPr>
          <w:t>7</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73" w:history="1">
        <w:r w:rsidR="00155756" w:rsidRPr="00C3251D">
          <w:rPr>
            <w:rStyle w:val="Hyperlink"/>
            <w:noProof/>
            <w:lang w:val="fr-FR"/>
          </w:rPr>
          <w:t>2.3.</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Efforts de formation dans le secteur dans les pays limitrophes</w:t>
        </w:r>
        <w:r w:rsidR="00155756">
          <w:rPr>
            <w:noProof/>
            <w:webHidden/>
          </w:rPr>
          <w:tab/>
        </w:r>
        <w:r>
          <w:rPr>
            <w:noProof/>
            <w:webHidden/>
          </w:rPr>
          <w:fldChar w:fldCharType="begin"/>
        </w:r>
        <w:r w:rsidR="00155756">
          <w:rPr>
            <w:noProof/>
            <w:webHidden/>
          </w:rPr>
          <w:instrText xml:space="preserve"> PAGEREF _Toc269220673 \h </w:instrText>
        </w:r>
        <w:r>
          <w:rPr>
            <w:noProof/>
            <w:webHidden/>
          </w:rPr>
        </w:r>
        <w:r>
          <w:rPr>
            <w:noProof/>
            <w:webHidden/>
          </w:rPr>
          <w:fldChar w:fldCharType="separate"/>
        </w:r>
        <w:r w:rsidR="00155756">
          <w:rPr>
            <w:noProof/>
            <w:webHidden/>
          </w:rPr>
          <w:t>7</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74" w:history="1">
        <w:r w:rsidR="00155756" w:rsidRPr="00C3251D">
          <w:rPr>
            <w:rStyle w:val="Hyperlink"/>
            <w:noProof/>
            <w:lang w:val="fr-FR"/>
          </w:rPr>
          <w:t>2.4</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Rendement des efforts de formation dans l’industrie alimentaire</w:t>
        </w:r>
        <w:r w:rsidR="00155756">
          <w:rPr>
            <w:noProof/>
            <w:webHidden/>
          </w:rPr>
          <w:tab/>
        </w:r>
        <w:r>
          <w:rPr>
            <w:noProof/>
            <w:webHidden/>
          </w:rPr>
          <w:fldChar w:fldCharType="begin"/>
        </w:r>
        <w:r w:rsidR="00155756">
          <w:rPr>
            <w:noProof/>
            <w:webHidden/>
          </w:rPr>
          <w:instrText xml:space="preserve"> PAGEREF _Toc269220674 \h </w:instrText>
        </w:r>
        <w:r>
          <w:rPr>
            <w:noProof/>
            <w:webHidden/>
          </w:rPr>
        </w:r>
        <w:r>
          <w:rPr>
            <w:noProof/>
            <w:webHidden/>
          </w:rPr>
          <w:fldChar w:fldCharType="separate"/>
        </w:r>
        <w:r w:rsidR="00155756">
          <w:rPr>
            <w:noProof/>
            <w:webHidden/>
          </w:rPr>
          <w:t>8</w:t>
        </w:r>
        <w:r>
          <w:rPr>
            <w:noProof/>
            <w:webHidden/>
          </w:rPr>
          <w:fldChar w:fldCharType="end"/>
        </w:r>
      </w:hyperlink>
    </w:p>
    <w:p w:rsidR="00155756" w:rsidRDefault="006B3391">
      <w:pPr>
        <w:pStyle w:val="TOC1"/>
        <w:tabs>
          <w:tab w:val="left" w:pos="400"/>
          <w:tab w:val="right" w:leader="dot" w:pos="9060"/>
        </w:tabs>
        <w:rPr>
          <w:rFonts w:asciiTheme="minorHAnsi" w:eastAsiaTheme="minorEastAsia" w:hAnsiTheme="minorHAnsi" w:cstheme="minorBidi"/>
          <w:bCs w:val="0"/>
          <w:noProof/>
          <w:sz w:val="22"/>
          <w:szCs w:val="22"/>
          <w:lang w:eastAsia="nl-BE"/>
        </w:rPr>
      </w:pPr>
      <w:hyperlink w:anchor="_Toc269220675" w:history="1">
        <w:r w:rsidR="00155756" w:rsidRPr="00C3251D">
          <w:rPr>
            <w:rStyle w:val="Hyperlink"/>
            <w:noProof/>
            <w:lang w:val="fr-FR"/>
          </w:rPr>
          <w:t>3.</w:t>
        </w:r>
        <w:r w:rsidR="00155756">
          <w:rPr>
            <w:rFonts w:asciiTheme="minorHAnsi" w:eastAsiaTheme="minorEastAsia" w:hAnsiTheme="minorHAnsi" w:cstheme="minorBidi"/>
            <w:bCs w:val="0"/>
            <w:noProof/>
            <w:sz w:val="22"/>
            <w:szCs w:val="22"/>
            <w:lang w:eastAsia="nl-BE"/>
          </w:rPr>
          <w:tab/>
        </w:r>
        <w:r w:rsidR="00155756" w:rsidRPr="00C3251D">
          <w:rPr>
            <w:rStyle w:val="Hyperlink"/>
            <w:noProof/>
            <w:lang w:val="fr-FR"/>
          </w:rPr>
          <w:t>Formations de l’IFP</w:t>
        </w:r>
        <w:r w:rsidR="00155756">
          <w:rPr>
            <w:noProof/>
            <w:webHidden/>
          </w:rPr>
          <w:tab/>
        </w:r>
        <w:r>
          <w:rPr>
            <w:noProof/>
            <w:webHidden/>
          </w:rPr>
          <w:fldChar w:fldCharType="begin"/>
        </w:r>
        <w:r w:rsidR="00155756">
          <w:rPr>
            <w:noProof/>
            <w:webHidden/>
          </w:rPr>
          <w:instrText xml:space="preserve"> PAGEREF _Toc269220675 \h </w:instrText>
        </w:r>
        <w:r>
          <w:rPr>
            <w:noProof/>
            <w:webHidden/>
          </w:rPr>
        </w:r>
        <w:r>
          <w:rPr>
            <w:noProof/>
            <w:webHidden/>
          </w:rPr>
          <w:fldChar w:fldCharType="separate"/>
        </w:r>
        <w:r w:rsidR="00155756">
          <w:rPr>
            <w:noProof/>
            <w:webHidden/>
          </w:rPr>
          <w:t>9</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76" w:history="1">
        <w:r w:rsidR="00155756" w:rsidRPr="00C3251D">
          <w:rPr>
            <w:rStyle w:val="Hyperlink"/>
            <w:noProof/>
            <w:lang w:val="fr-FR"/>
          </w:rPr>
          <w:t>3.1.</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Qui fait appel aux formations IFP ?</w:t>
        </w:r>
        <w:r w:rsidR="00155756">
          <w:rPr>
            <w:noProof/>
            <w:webHidden/>
          </w:rPr>
          <w:tab/>
        </w:r>
        <w:r>
          <w:rPr>
            <w:noProof/>
            <w:webHidden/>
          </w:rPr>
          <w:fldChar w:fldCharType="begin"/>
        </w:r>
        <w:r w:rsidR="00155756">
          <w:rPr>
            <w:noProof/>
            <w:webHidden/>
          </w:rPr>
          <w:instrText xml:space="preserve"> PAGEREF _Toc269220676 \h </w:instrText>
        </w:r>
        <w:r>
          <w:rPr>
            <w:noProof/>
            <w:webHidden/>
          </w:rPr>
        </w:r>
        <w:r>
          <w:rPr>
            <w:noProof/>
            <w:webHidden/>
          </w:rPr>
          <w:fldChar w:fldCharType="separate"/>
        </w:r>
        <w:r w:rsidR="00155756">
          <w:rPr>
            <w:noProof/>
            <w:webHidden/>
          </w:rPr>
          <w:t>11</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77" w:history="1">
        <w:r w:rsidR="00155756" w:rsidRPr="00C3251D">
          <w:rPr>
            <w:rStyle w:val="Hyperlink"/>
            <w:noProof/>
          </w:rPr>
          <w:t>Formations en PME : un pas en avant</w:t>
        </w:r>
        <w:r w:rsidR="00155756">
          <w:rPr>
            <w:noProof/>
            <w:webHidden/>
          </w:rPr>
          <w:tab/>
        </w:r>
        <w:r>
          <w:rPr>
            <w:noProof/>
            <w:webHidden/>
          </w:rPr>
          <w:fldChar w:fldCharType="begin"/>
        </w:r>
        <w:r w:rsidR="00155756">
          <w:rPr>
            <w:noProof/>
            <w:webHidden/>
          </w:rPr>
          <w:instrText xml:space="preserve"> PAGEREF _Toc269220677 \h </w:instrText>
        </w:r>
        <w:r>
          <w:rPr>
            <w:noProof/>
            <w:webHidden/>
          </w:rPr>
        </w:r>
        <w:r>
          <w:rPr>
            <w:noProof/>
            <w:webHidden/>
          </w:rPr>
          <w:fldChar w:fldCharType="separate"/>
        </w:r>
        <w:r w:rsidR="00155756">
          <w:rPr>
            <w:noProof/>
            <w:webHidden/>
          </w:rPr>
          <w:t>11</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78" w:history="1">
        <w:r w:rsidR="00155756" w:rsidRPr="00C3251D">
          <w:rPr>
            <w:rStyle w:val="Hyperlink"/>
            <w:noProof/>
          </w:rPr>
          <w:t>La formation des intérimaires en hausse</w:t>
        </w:r>
        <w:r w:rsidR="00155756">
          <w:rPr>
            <w:noProof/>
            <w:webHidden/>
          </w:rPr>
          <w:tab/>
        </w:r>
        <w:r>
          <w:rPr>
            <w:noProof/>
            <w:webHidden/>
          </w:rPr>
          <w:fldChar w:fldCharType="begin"/>
        </w:r>
        <w:r w:rsidR="00155756">
          <w:rPr>
            <w:noProof/>
            <w:webHidden/>
          </w:rPr>
          <w:instrText xml:space="preserve"> PAGEREF _Toc269220678 \h </w:instrText>
        </w:r>
        <w:r>
          <w:rPr>
            <w:noProof/>
            <w:webHidden/>
          </w:rPr>
        </w:r>
        <w:r>
          <w:rPr>
            <w:noProof/>
            <w:webHidden/>
          </w:rPr>
          <w:fldChar w:fldCharType="separate"/>
        </w:r>
        <w:r w:rsidR="00155756">
          <w:rPr>
            <w:noProof/>
            <w:webHidden/>
          </w:rPr>
          <w:t>13</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79" w:history="1">
        <w:r w:rsidR="00155756" w:rsidRPr="00C3251D">
          <w:rPr>
            <w:rStyle w:val="Hyperlink"/>
            <w:noProof/>
          </w:rPr>
          <w:t>Enseignement - industrie : politique multidirectionnelle</w:t>
        </w:r>
        <w:r w:rsidR="00155756">
          <w:rPr>
            <w:noProof/>
            <w:webHidden/>
          </w:rPr>
          <w:tab/>
        </w:r>
        <w:r>
          <w:rPr>
            <w:noProof/>
            <w:webHidden/>
          </w:rPr>
          <w:fldChar w:fldCharType="begin"/>
        </w:r>
        <w:r w:rsidR="00155756">
          <w:rPr>
            <w:noProof/>
            <w:webHidden/>
          </w:rPr>
          <w:instrText xml:space="preserve"> PAGEREF _Toc269220679 \h </w:instrText>
        </w:r>
        <w:r>
          <w:rPr>
            <w:noProof/>
            <w:webHidden/>
          </w:rPr>
        </w:r>
        <w:r>
          <w:rPr>
            <w:noProof/>
            <w:webHidden/>
          </w:rPr>
          <w:fldChar w:fldCharType="separate"/>
        </w:r>
        <w:r w:rsidR="00155756">
          <w:rPr>
            <w:noProof/>
            <w:webHidden/>
          </w:rPr>
          <w:t>13</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0" w:history="1">
        <w:r w:rsidR="00155756" w:rsidRPr="00C3251D">
          <w:rPr>
            <w:rStyle w:val="Hyperlink"/>
            <w:noProof/>
          </w:rPr>
          <w:t>Les élèves découvrent les métiers de l’industrie alimentaire</w:t>
        </w:r>
        <w:r w:rsidR="00155756">
          <w:rPr>
            <w:noProof/>
            <w:webHidden/>
          </w:rPr>
          <w:tab/>
        </w:r>
        <w:r>
          <w:rPr>
            <w:noProof/>
            <w:webHidden/>
          </w:rPr>
          <w:fldChar w:fldCharType="begin"/>
        </w:r>
        <w:r w:rsidR="00155756">
          <w:rPr>
            <w:noProof/>
            <w:webHidden/>
          </w:rPr>
          <w:instrText xml:space="preserve"> PAGEREF _Toc269220680 \h </w:instrText>
        </w:r>
        <w:r>
          <w:rPr>
            <w:noProof/>
            <w:webHidden/>
          </w:rPr>
        </w:r>
        <w:r>
          <w:rPr>
            <w:noProof/>
            <w:webHidden/>
          </w:rPr>
          <w:fldChar w:fldCharType="separate"/>
        </w:r>
        <w:r w:rsidR="00155756">
          <w:rPr>
            <w:noProof/>
            <w:webHidden/>
          </w:rPr>
          <w:t>15</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1" w:history="1">
        <w:r w:rsidR="00155756" w:rsidRPr="00C3251D">
          <w:rPr>
            <w:rStyle w:val="Hyperlink"/>
            <w:noProof/>
          </w:rPr>
          <w:t>Insertion par la formation</w:t>
        </w:r>
        <w:r w:rsidR="00155756">
          <w:rPr>
            <w:noProof/>
            <w:webHidden/>
          </w:rPr>
          <w:tab/>
        </w:r>
        <w:r>
          <w:rPr>
            <w:noProof/>
            <w:webHidden/>
          </w:rPr>
          <w:fldChar w:fldCharType="begin"/>
        </w:r>
        <w:r w:rsidR="00155756">
          <w:rPr>
            <w:noProof/>
            <w:webHidden/>
          </w:rPr>
          <w:instrText xml:space="preserve"> PAGEREF _Toc269220681 \h </w:instrText>
        </w:r>
        <w:r>
          <w:rPr>
            <w:noProof/>
            <w:webHidden/>
          </w:rPr>
        </w:r>
        <w:r>
          <w:rPr>
            <w:noProof/>
            <w:webHidden/>
          </w:rPr>
          <w:fldChar w:fldCharType="separate"/>
        </w:r>
        <w:r w:rsidR="00155756">
          <w:rPr>
            <w:noProof/>
            <w:webHidden/>
          </w:rPr>
          <w:t>15</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2" w:history="1">
        <w:r w:rsidR="00155756" w:rsidRPr="00C3251D">
          <w:rPr>
            <w:rStyle w:val="Hyperlink"/>
            <w:noProof/>
          </w:rPr>
          <w:t>Objectif stratégique largement atteint : plus de 15.000 travailleurs dans des formations IFP</w:t>
        </w:r>
        <w:r w:rsidR="00155756">
          <w:rPr>
            <w:noProof/>
            <w:webHidden/>
          </w:rPr>
          <w:tab/>
        </w:r>
        <w:r>
          <w:rPr>
            <w:noProof/>
            <w:webHidden/>
          </w:rPr>
          <w:fldChar w:fldCharType="begin"/>
        </w:r>
        <w:r w:rsidR="00155756">
          <w:rPr>
            <w:noProof/>
            <w:webHidden/>
          </w:rPr>
          <w:instrText xml:space="preserve"> PAGEREF _Toc269220682 \h </w:instrText>
        </w:r>
        <w:r>
          <w:rPr>
            <w:noProof/>
            <w:webHidden/>
          </w:rPr>
        </w:r>
        <w:r>
          <w:rPr>
            <w:noProof/>
            <w:webHidden/>
          </w:rPr>
          <w:fldChar w:fldCharType="separate"/>
        </w:r>
        <w:r w:rsidR="00155756">
          <w:rPr>
            <w:noProof/>
            <w:webHidden/>
          </w:rPr>
          <w:t>16</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3" w:history="1">
        <w:r w:rsidR="00155756" w:rsidRPr="00C3251D">
          <w:rPr>
            <w:rStyle w:val="Hyperlink"/>
            <w:noProof/>
          </w:rPr>
          <w:t>Formations sectorielles : la priorité de l’IFP</w:t>
        </w:r>
        <w:r w:rsidR="00155756">
          <w:rPr>
            <w:noProof/>
            <w:webHidden/>
          </w:rPr>
          <w:tab/>
        </w:r>
        <w:r>
          <w:rPr>
            <w:noProof/>
            <w:webHidden/>
          </w:rPr>
          <w:fldChar w:fldCharType="begin"/>
        </w:r>
        <w:r w:rsidR="00155756">
          <w:rPr>
            <w:noProof/>
            <w:webHidden/>
          </w:rPr>
          <w:instrText xml:space="preserve"> PAGEREF _Toc269220683 \h </w:instrText>
        </w:r>
        <w:r>
          <w:rPr>
            <w:noProof/>
            <w:webHidden/>
          </w:rPr>
        </w:r>
        <w:r>
          <w:rPr>
            <w:noProof/>
            <w:webHidden/>
          </w:rPr>
          <w:fldChar w:fldCharType="separate"/>
        </w:r>
        <w:r w:rsidR="00155756">
          <w:rPr>
            <w:noProof/>
            <w:webHidden/>
          </w:rPr>
          <w:t>17</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84" w:history="1">
        <w:r w:rsidR="00155756" w:rsidRPr="00C3251D">
          <w:rPr>
            <w:rStyle w:val="Hyperlink"/>
            <w:noProof/>
            <w:lang w:val="fr-FR"/>
          </w:rPr>
          <w:t>3.2.</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Information, conseils et développement d’outils</w:t>
        </w:r>
        <w:r w:rsidR="00155756">
          <w:rPr>
            <w:noProof/>
            <w:webHidden/>
          </w:rPr>
          <w:tab/>
        </w:r>
        <w:r>
          <w:rPr>
            <w:noProof/>
            <w:webHidden/>
          </w:rPr>
          <w:fldChar w:fldCharType="begin"/>
        </w:r>
        <w:r w:rsidR="00155756">
          <w:rPr>
            <w:noProof/>
            <w:webHidden/>
          </w:rPr>
          <w:instrText xml:space="preserve"> PAGEREF _Toc269220684 \h </w:instrText>
        </w:r>
        <w:r>
          <w:rPr>
            <w:noProof/>
            <w:webHidden/>
          </w:rPr>
        </w:r>
        <w:r>
          <w:rPr>
            <w:noProof/>
            <w:webHidden/>
          </w:rPr>
          <w:fldChar w:fldCharType="separate"/>
        </w:r>
        <w:r w:rsidR="00155756">
          <w:rPr>
            <w:noProof/>
            <w:webHidden/>
          </w:rPr>
          <w:t>20</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5" w:history="1">
        <w:r w:rsidR="00155756" w:rsidRPr="00C3251D">
          <w:rPr>
            <w:rStyle w:val="Hyperlink"/>
            <w:noProof/>
          </w:rPr>
          <w:t>Information : les plateformes en vitesse de croisière</w:t>
        </w:r>
        <w:r w:rsidR="00155756">
          <w:rPr>
            <w:noProof/>
            <w:webHidden/>
          </w:rPr>
          <w:tab/>
        </w:r>
        <w:r>
          <w:rPr>
            <w:noProof/>
            <w:webHidden/>
          </w:rPr>
          <w:fldChar w:fldCharType="begin"/>
        </w:r>
        <w:r w:rsidR="00155756">
          <w:rPr>
            <w:noProof/>
            <w:webHidden/>
          </w:rPr>
          <w:instrText xml:space="preserve"> PAGEREF _Toc269220685 \h </w:instrText>
        </w:r>
        <w:r>
          <w:rPr>
            <w:noProof/>
            <w:webHidden/>
          </w:rPr>
        </w:r>
        <w:r>
          <w:rPr>
            <w:noProof/>
            <w:webHidden/>
          </w:rPr>
          <w:fldChar w:fldCharType="separate"/>
        </w:r>
        <w:r w:rsidR="00155756">
          <w:rPr>
            <w:noProof/>
            <w:webHidden/>
          </w:rPr>
          <w:t>20</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6" w:history="1">
        <w:r w:rsidR="00155756" w:rsidRPr="00C3251D">
          <w:rPr>
            <w:rStyle w:val="Hyperlink"/>
            <w:noProof/>
          </w:rPr>
          <w:t>Conseils aux entreprises</w:t>
        </w:r>
        <w:r w:rsidR="00155756">
          <w:rPr>
            <w:noProof/>
            <w:webHidden/>
          </w:rPr>
          <w:tab/>
        </w:r>
        <w:r>
          <w:rPr>
            <w:noProof/>
            <w:webHidden/>
          </w:rPr>
          <w:fldChar w:fldCharType="begin"/>
        </w:r>
        <w:r w:rsidR="00155756">
          <w:rPr>
            <w:noProof/>
            <w:webHidden/>
          </w:rPr>
          <w:instrText xml:space="preserve"> PAGEREF _Toc269220686 \h </w:instrText>
        </w:r>
        <w:r>
          <w:rPr>
            <w:noProof/>
            <w:webHidden/>
          </w:rPr>
        </w:r>
        <w:r>
          <w:rPr>
            <w:noProof/>
            <w:webHidden/>
          </w:rPr>
          <w:fldChar w:fldCharType="separate"/>
        </w:r>
        <w:r w:rsidR="00155756">
          <w:rPr>
            <w:noProof/>
            <w:webHidden/>
          </w:rPr>
          <w:t>20</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87" w:history="1">
        <w:r w:rsidR="00155756" w:rsidRPr="00C3251D">
          <w:rPr>
            <w:rStyle w:val="Hyperlink"/>
            <w:noProof/>
          </w:rPr>
          <w:t>Pleins feux sur les outils de support</w:t>
        </w:r>
        <w:r w:rsidR="00155756">
          <w:rPr>
            <w:noProof/>
            <w:webHidden/>
          </w:rPr>
          <w:tab/>
        </w:r>
        <w:r>
          <w:rPr>
            <w:noProof/>
            <w:webHidden/>
          </w:rPr>
          <w:fldChar w:fldCharType="begin"/>
        </w:r>
        <w:r w:rsidR="00155756">
          <w:rPr>
            <w:noProof/>
            <w:webHidden/>
          </w:rPr>
          <w:instrText xml:space="preserve"> PAGEREF _Toc269220687 \h </w:instrText>
        </w:r>
        <w:r>
          <w:rPr>
            <w:noProof/>
            <w:webHidden/>
          </w:rPr>
        </w:r>
        <w:r>
          <w:rPr>
            <w:noProof/>
            <w:webHidden/>
          </w:rPr>
          <w:fldChar w:fldCharType="separate"/>
        </w:r>
        <w:r w:rsidR="00155756">
          <w:rPr>
            <w:noProof/>
            <w:webHidden/>
          </w:rPr>
          <w:t>22</w:t>
        </w:r>
        <w:r>
          <w:rPr>
            <w:noProof/>
            <w:webHidden/>
          </w:rPr>
          <w:fldChar w:fldCharType="end"/>
        </w:r>
      </w:hyperlink>
    </w:p>
    <w:p w:rsidR="007B0288" w:rsidRPr="007B0288" w:rsidRDefault="007B0288" w:rsidP="007B0288">
      <w:pPr>
        <w:pStyle w:val="TOC3"/>
      </w:pPr>
      <w:r w:rsidRPr="007B0288">
        <w:rPr>
          <w:highlight w:val="cyan"/>
        </w:rPr>
        <w:t>Evaluation des compétences</w:t>
      </w:r>
      <w:r w:rsidRPr="007B0288">
        <w:t> </w:t>
      </w:r>
    </w:p>
    <w:p w:rsidR="00155756" w:rsidRDefault="006B3391" w:rsidP="007B0288">
      <w:pPr>
        <w:pStyle w:val="TOC3"/>
        <w:rPr>
          <w:rFonts w:asciiTheme="minorHAnsi" w:eastAsiaTheme="minorEastAsia" w:hAnsiTheme="minorHAnsi" w:cstheme="minorBidi"/>
          <w:noProof/>
          <w:sz w:val="22"/>
          <w:szCs w:val="22"/>
          <w:lang w:eastAsia="nl-BE"/>
        </w:rPr>
      </w:pPr>
      <w:hyperlink w:anchor="_Toc269220688" w:history="1">
        <w:r w:rsidR="00155756" w:rsidRPr="00C3251D">
          <w:rPr>
            <w:rStyle w:val="Hyperlink"/>
            <w:noProof/>
          </w:rPr>
          <w:t>Innovations dans l’offre de formations</w:t>
        </w:r>
        <w:r w:rsidR="00155756">
          <w:rPr>
            <w:noProof/>
            <w:webHidden/>
          </w:rPr>
          <w:tab/>
        </w:r>
        <w:r>
          <w:rPr>
            <w:noProof/>
            <w:webHidden/>
          </w:rPr>
          <w:fldChar w:fldCharType="begin"/>
        </w:r>
        <w:r w:rsidR="00155756">
          <w:rPr>
            <w:noProof/>
            <w:webHidden/>
          </w:rPr>
          <w:instrText xml:space="preserve"> PAGEREF _Toc269220688 \h </w:instrText>
        </w:r>
        <w:r>
          <w:rPr>
            <w:noProof/>
            <w:webHidden/>
          </w:rPr>
        </w:r>
        <w:r>
          <w:rPr>
            <w:noProof/>
            <w:webHidden/>
          </w:rPr>
          <w:fldChar w:fldCharType="separate"/>
        </w:r>
        <w:r w:rsidR="00155756">
          <w:rPr>
            <w:noProof/>
            <w:webHidden/>
          </w:rPr>
          <w:t>23</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89" w:history="1">
        <w:r w:rsidR="00155756" w:rsidRPr="00C3251D">
          <w:rPr>
            <w:rStyle w:val="Hyperlink"/>
            <w:noProof/>
            <w:lang w:val="fr-FR"/>
          </w:rPr>
          <w:t>3.3.</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Les moyens financiers de l’IFP</w:t>
        </w:r>
        <w:r w:rsidR="00155756">
          <w:rPr>
            <w:noProof/>
            <w:webHidden/>
          </w:rPr>
          <w:tab/>
        </w:r>
        <w:r>
          <w:rPr>
            <w:noProof/>
            <w:webHidden/>
          </w:rPr>
          <w:fldChar w:fldCharType="begin"/>
        </w:r>
        <w:r w:rsidR="00155756">
          <w:rPr>
            <w:noProof/>
            <w:webHidden/>
          </w:rPr>
          <w:instrText xml:space="preserve"> PAGEREF _Toc269220689 \h </w:instrText>
        </w:r>
        <w:r>
          <w:rPr>
            <w:noProof/>
            <w:webHidden/>
          </w:rPr>
        </w:r>
        <w:r>
          <w:rPr>
            <w:noProof/>
            <w:webHidden/>
          </w:rPr>
          <w:fldChar w:fldCharType="separate"/>
        </w:r>
        <w:r w:rsidR="00155756">
          <w:rPr>
            <w:noProof/>
            <w:webHidden/>
          </w:rPr>
          <w:t>26</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90" w:history="1">
        <w:r w:rsidR="00155756" w:rsidRPr="00C3251D">
          <w:rPr>
            <w:rStyle w:val="Hyperlink"/>
            <w:noProof/>
            <w:lang w:val="fr-FR"/>
          </w:rPr>
          <w:t>3.4.</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L’équipe de l’IFP</w:t>
        </w:r>
        <w:r w:rsidR="00155756">
          <w:rPr>
            <w:noProof/>
            <w:webHidden/>
          </w:rPr>
          <w:tab/>
        </w:r>
        <w:r>
          <w:rPr>
            <w:noProof/>
            <w:webHidden/>
          </w:rPr>
          <w:fldChar w:fldCharType="begin"/>
        </w:r>
        <w:r w:rsidR="00155756">
          <w:rPr>
            <w:noProof/>
            <w:webHidden/>
          </w:rPr>
          <w:instrText xml:space="preserve"> PAGEREF _Toc269220690 \h </w:instrText>
        </w:r>
        <w:r>
          <w:rPr>
            <w:noProof/>
            <w:webHidden/>
          </w:rPr>
        </w:r>
        <w:r>
          <w:rPr>
            <w:noProof/>
            <w:webHidden/>
          </w:rPr>
          <w:fldChar w:fldCharType="separate"/>
        </w:r>
        <w:r w:rsidR="00155756">
          <w:rPr>
            <w:noProof/>
            <w:webHidden/>
          </w:rPr>
          <w:t>27</w:t>
        </w:r>
        <w:r>
          <w:rPr>
            <w:noProof/>
            <w:webHidden/>
          </w:rPr>
          <w:fldChar w:fldCharType="end"/>
        </w:r>
      </w:hyperlink>
    </w:p>
    <w:p w:rsidR="00155756" w:rsidRDefault="006B3391">
      <w:pPr>
        <w:pStyle w:val="TOC1"/>
        <w:tabs>
          <w:tab w:val="left" w:pos="400"/>
          <w:tab w:val="right" w:leader="dot" w:pos="9060"/>
        </w:tabs>
        <w:rPr>
          <w:rFonts w:asciiTheme="minorHAnsi" w:eastAsiaTheme="minorEastAsia" w:hAnsiTheme="minorHAnsi" w:cstheme="minorBidi"/>
          <w:bCs w:val="0"/>
          <w:noProof/>
          <w:sz w:val="22"/>
          <w:szCs w:val="22"/>
          <w:lang w:eastAsia="nl-BE"/>
        </w:rPr>
      </w:pPr>
      <w:hyperlink w:anchor="_Toc269220691" w:history="1">
        <w:r w:rsidR="00155756" w:rsidRPr="00C3251D">
          <w:rPr>
            <w:rStyle w:val="Hyperlink"/>
            <w:noProof/>
            <w:lang w:val="fr-FR"/>
          </w:rPr>
          <w:t>4.</w:t>
        </w:r>
        <w:r w:rsidR="00155756">
          <w:rPr>
            <w:rFonts w:asciiTheme="minorHAnsi" w:eastAsiaTheme="minorEastAsia" w:hAnsiTheme="minorHAnsi" w:cstheme="minorBidi"/>
            <w:bCs w:val="0"/>
            <w:noProof/>
            <w:sz w:val="22"/>
            <w:szCs w:val="22"/>
            <w:lang w:eastAsia="nl-BE"/>
          </w:rPr>
          <w:tab/>
        </w:r>
        <w:r w:rsidR="00155756" w:rsidRPr="00C3251D">
          <w:rPr>
            <w:rStyle w:val="Hyperlink"/>
            <w:noProof/>
            <w:lang w:val="fr-FR"/>
          </w:rPr>
          <w:t>Annexes</w:t>
        </w:r>
        <w:r w:rsidR="00155756">
          <w:rPr>
            <w:noProof/>
            <w:webHidden/>
          </w:rPr>
          <w:tab/>
        </w:r>
        <w:r>
          <w:rPr>
            <w:noProof/>
            <w:webHidden/>
          </w:rPr>
          <w:fldChar w:fldCharType="begin"/>
        </w:r>
        <w:r w:rsidR="00155756">
          <w:rPr>
            <w:noProof/>
            <w:webHidden/>
          </w:rPr>
          <w:instrText xml:space="preserve"> PAGEREF _Toc269220691 \h </w:instrText>
        </w:r>
        <w:r>
          <w:rPr>
            <w:noProof/>
            <w:webHidden/>
          </w:rPr>
        </w:r>
        <w:r>
          <w:rPr>
            <w:noProof/>
            <w:webHidden/>
          </w:rPr>
          <w:fldChar w:fldCharType="separate"/>
        </w:r>
        <w:r w:rsidR="00155756">
          <w:rPr>
            <w:noProof/>
            <w:webHidden/>
          </w:rPr>
          <w:t>29</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92" w:history="1">
        <w:r w:rsidR="00155756" w:rsidRPr="00C3251D">
          <w:rPr>
            <w:rStyle w:val="Hyperlink"/>
            <w:noProof/>
            <w:lang w:val="fr-FR"/>
          </w:rPr>
          <w:t>4.1.</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Annexe 1. L’industrie alimentaire en question</w:t>
        </w:r>
        <w:r w:rsidR="00155756">
          <w:rPr>
            <w:noProof/>
            <w:webHidden/>
          </w:rPr>
          <w:tab/>
        </w:r>
        <w:r>
          <w:rPr>
            <w:noProof/>
            <w:webHidden/>
          </w:rPr>
          <w:fldChar w:fldCharType="begin"/>
        </w:r>
        <w:r w:rsidR="00155756">
          <w:rPr>
            <w:noProof/>
            <w:webHidden/>
          </w:rPr>
          <w:instrText xml:space="preserve"> PAGEREF _Toc269220692 \h </w:instrText>
        </w:r>
        <w:r>
          <w:rPr>
            <w:noProof/>
            <w:webHidden/>
          </w:rPr>
        </w:r>
        <w:r>
          <w:rPr>
            <w:noProof/>
            <w:webHidden/>
          </w:rPr>
          <w:fldChar w:fldCharType="separate"/>
        </w:r>
        <w:r w:rsidR="00155756">
          <w:rPr>
            <w:noProof/>
            <w:webHidden/>
          </w:rPr>
          <w:t>29</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93" w:history="1">
        <w:r w:rsidR="00155756" w:rsidRPr="00C3251D">
          <w:rPr>
            <w:rStyle w:val="Hyperlink"/>
            <w:noProof/>
            <w:lang w:val="fr-FR"/>
          </w:rPr>
          <w:t>4.2.</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Annexe 2 : Les formations IFP selon la région</w:t>
        </w:r>
        <w:r w:rsidR="00155756">
          <w:rPr>
            <w:noProof/>
            <w:webHidden/>
          </w:rPr>
          <w:tab/>
        </w:r>
        <w:r>
          <w:rPr>
            <w:noProof/>
            <w:webHidden/>
          </w:rPr>
          <w:fldChar w:fldCharType="begin"/>
        </w:r>
        <w:r w:rsidR="00155756">
          <w:rPr>
            <w:noProof/>
            <w:webHidden/>
          </w:rPr>
          <w:instrText xml:space="preserve"> PAGEREF _Toc269220693 \h </w:instrText>
        </w:r>
        <w:r>
          <w:rPr>
            <w:noProof/>
            <w:webHidden/>
          </w:rPr>
        </w:r>
        <w:r>
          <w:rPr>
            <w:noProof/>
            <w:webHidden/>
          </w:rPr>
          <w:fldChar w:fldCharType="separate"/>
        </w:r>
        <w:r w:rsidR="00155756">
          <w:rPr>
            <w:noProof/>
            <w:webHidden/>
          </w:rPr>
          <w:t>32</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94" w:history="1">
        <w:r w:rsidR="00155756" w:rsidRPr="00C3251D">
          <w:rPr>
            <w:rStyle w:val="Hyperlink"/>
            <w:noProof/>
          </w:rPr>
          <w:t>Annexe 2a : Flandre</w:t>
        </w:r>
        <w:r w:rsidR="00155756">
          <w:rPr>
            <w:noProof/>
            <w:webHidden/>
          </w:rPr>
          <w:tab/>
        </w:r>
        <w:r>
          <w:rPr>
            <w:noProof/>
            <w:webHidden/>
          </w:rPr>
          <w:fldChar w:fldCharType="begin"/>
        </w:r>
        <w:r w:rsidR="00155756">
          <w:rPr>
            <w:noProof/>
            <w:webHidden/>
          </w:rPr>
          <w:instrText xml:space="preserve"> PAGEREF _Toc269220694 \h </w:instrText>
        </w:r>
        <w:r>
          <w:rPr>
            <w:noProof/>
            <w:webHidden/>
          </w:rPr>
        </w:r>
        <w:r>
          <w:rPr>
            <w:noProof/>
            <w:webHidden/>
          </w:rPr>
          <w:fldChar w:fldCharType="separate"/>
        </w:r>
        <w:r w:rsidR="00155756">
          <w:rPr>
            <w:noProof/>
            <w:webHidden/>
          </w:rPr>
          <w:t>32</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95" w:history="1">
        <w:r w:rsidR="00155756" w:rsidRPr="00C3251D">
          <w:rPr>
            <w:rStyle w:val="Hyperlink"/>
            <w:noProof/>
          </w:rPr>
          <w:t>Annexe 2b : Wallonie</w:t>
        </w:r>
        <w:r w:rsidR="00155756">
          <w:rPr>
            <w:noProof/>
            <w:webHidden/>
          </w:rPr>
          <w:tab/>
        </w:r>
        <w:r>
          <w:rPr>
            <w:noProof/>
            <w:webHidden/>
          </w:rPr>
          <w:fldChar w:fldCharType="begin"/>
        </w:r>
        <w:r w:rsidR="00155756">
          <w:rPr>
            <w:noProof/>
            <w:webHidden/>
          </w:rPr>
          <w:instrText xml:space="preserve"> PAGEREF _Toc269220695 \h </w:instrText>
        </w:r>
        <w:r>
          <w:rPr>
            <w:noProof/>
            <w:webHidden/>
          </w:rPr>
        </w:r>
        <w:r>
          <w:rPr>
            <w:noProof/>
            <w:webHidden/>
          </w:rPr>
          <w:fldChar w:fldCharType="separate"/>
        </w:r>
        <w:r w:rsidR="00155756">
          <w:rPr>
            <w:noProof/>
            <w:webHidden/>
          </w:rPr>
          <w:t>34</w:t>
        </w:r>
        <w:r>
          <w:rPr>
            <w:noProof/>
            <w:webHidden/>
          </w:rPr>
          <w:fldChar w:fldCharType="end"/>
        </w:r>
      </w:hyperlink>
    </w:p>
    <w:p w:rsidR="00155756" w:rsidRDefault="006B3391" w:rsidP="007B0288">
      <w:pPr>
        <w:pStyle w:val="TOC3"/>
        <w:rPr>
          <w:rFonts w:asciiTheme="minorHAnsi" w:eastAsiaTheme="minorEastAsia" w:hAnsiTheme="minorHAnsi" w:cstheme="minorBidi"/>
          <w:noProof/>
          <w:sz w:val="22"/>
          <w:szCs w:val="22"/>
          <w:lang w:eastAsia="nl-BE"/>
        </w:rPr>
      </w:pPr>
      <w:hyperlink w:anchor="_Toc269220696" w:history="1">
        <w:r w:rsidR="00155756" w:rsidRPr="00C3251D">
          <w:rPr>
            <w:rStyle w:val="Hyperlink"/>
            <w:noProof/>
          </w:rPr>
          <w:t>Annexe 2c : Bruxelles</w:t>
        </w:r>
        <w:r w:rsidR="00155756">
          <w:rPr>
            <w:noProof/>
            <w:webHidden/>
          </w:rPr>
          <w:tab/>
        </w:r>
        <w:r>
          <w:rPr>
            <w:noProof/>
            <w:webHidden/>
          </w:rPr>
          <w:fldChar w:fldCharType="begin"/>
        </w:r>
        <w:r w:rsidR="00155756">
          <w:rPr>
            <w:noProof/>
            <w:webHidden/>
          </w:rPr>
          <w:instrText xml:space="preserve"> PAGEREF _Toc269220696 \h </w:instrText>
        </w:r>
        <w:r>
          <w:rPr>
            <w:noProof/>
            <w:webHidden/>
          </w:rPr>
        </w:r>
        <w:r>
          <w:rPr>
            <w:noProof/>
            <w:webHidden/>
          </w:rPr>
          <w:fldChar w:fldCharType="separate"/>
        </w:r>
        <w:r w:rsidR="00155756">
          <w:rPr>
            <w:noProof/>
            <w:webHidden/>
          </w:rPr>
          <w:t>36</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97" w:history="1">
        <w:r w:rsidR="00155756" w:rsidRPr="00C3251D">
          <w:rPr>
            <w:rStyle w:val="Hyperlink"/>
            <w:noProof/>
            <w:lang w:val="fr-FR"/>
          </w:rPr>
          <w:t>4.3.</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Annexe 3. Tableau chiffré fonctionnement IFP 2009 (selon la recommandation du C.N.T. n° 16)</w:t>
        </w:r>
        <w:r w:rsidR="00155756">
          <w:rPr>
            <w:noProof/>
            <w:webHidden/>
          </w:rPr>
          <w:tab/>
        </w:r>
        <w:r>
          <w:rPr>
            <w:noProof/>
            <w:webHidden/>
          </w:rPr>
          <w:fldChar w:fldCharType="begin"/>
        </w:r>
        <w:r w:rsidR="00155756">
          <w:rPr>
            <w:noProof/>
            <w:webHidden/>
          </w:rPr>
          <w:instrText xml:space="preserve"> PAGEREF _Toc269220697 \h </w:instrText>
        </w:r>
        <w:r>
          <w:rPr>
            <w:noProof/>
            <w:webHidden/>
          </w:rPr>
        </w:r>
        <w:r>
          <w:rPr>
            <w:noProof/>
            <w:webHidden/>
          </w:rPr>
          <w:fldChar w:fldCharType="separate"/>
        </w:r>
        <w:r w:rsidR="00155756">
          <w:rPr>
            <w:noProof/>
            <w:webHidden/>
          </w:rPr>
          <w:t>38</w:t>
        </w:r>
        <w:r>
          <w:rPr>
            <w:noProof/>
            <w:webHidden/>
          </w:rPr>
          <w:fldChar w:fldCharType="end"/>
        </w:r>
      </w:hyperlink>
    </w:p>
    <w:p w:rsidR="00155756" w:rsidRDefault="006B3391">
      <w:pPr>
        <w:pStyle w:val="TOC2"/>
        <w:tabs>
          <w:tab w:val="left" w:pos="800"/>
          <w:tab w:val="right" w:leader="dot" w:pos="9060"/>
        </w:tabs>
        <w:rPr>
          <w:rFonts w:asciiTheme="minorHAnsi" w:eastAsiaTheme="minorEastAsia" w:hAnsiTheme="minorHAnsi" w:cstheme="minorBidi"/>
          <w:noProof/>
          <w:sz w:val="22"/>
          <w:szCs w:val="22"/>
          <w:lang w:eastAsia="nl-BE"/>
        </w:rPr>
      </w:pPr>
      <w:hyperlink w:anchor="_Toc269220698" w:history="1">
        <w:r w:rsidR="00155756" w:rsidRPr="00C3251D">
          <w:rPr>
            <w:rStyle w:val="Hyperlink"/>
            <w:noProof/>
            <w:lang w:val="fr-FR"/>
          </w:rPr>
          <w:t>4.4.</w:t>
        </w:r>
        <w:r w:rsidR="00155756">
          <w:rPr>
            <w:rFonts w:asciiTheme="minorHAnsi" w:eastAsiaTheme="minorEastAsia" w:hAnsiTheme="minorHAnsi" w:cstheme="minorBidi"/>
            <w:noProof/>
            <w:sz w:val="22"/>
            <w:szCs w:val="22"/>
            <w:lang w:eastAsia="nl-BE"/>
          </w:rPr>
          <w:tab/>
        </w:r>
        <w:r w:rsidR="00155756" w:rsidRPr="00C3251D">
          <w:rPr>
            <w:rStyle w:val="Hyperlink"/>
            <w:noProof/>
            <w:lang w:val="fr-FR"/>
          </w:rPr>
          <w:t>Annexe 4. L’IFP et les accords sectoriels en matière de formation.</w:t>
        </w:r>
        <w:r w:rsidR="00155756">
          <w:rPr>
            <w:noProof/>
            <w:webHidden/>
          </w:rPr>
          <w:tab/>
        </w:r>
        <w:r>
          <w:rPr>
            <w:noProof/>
            <w:webHidden/>
          </w:rPr>
          <w:fldChar w:fldCharType="begin"/>
        </w:r>
        <w:r w:rsidR="00155756">
          <w:rPr>
            <w:noProof/>
            <w:webHidden/>
          </w:rPr>
          <w:instrText xml:space="preserve"> PAGEREF _Toc269220698 \h </w:instrText>
        </w:r>
        <w:r>
          <w:rPr>
            <w:noProof/>
            <w:webHidden/>
          </w:rPr>
        </w:r>
        <w:r>
          <w:rPr>
            <w:noProof/>
            <w:webHidden/>
          </w:rPr>
          <w:fldChar w:fldCharType="separate"/>
        </w:r>
        <w:r w:rsidR="00155756">
          <w:rPr>
            <w:noProof/>
            <w:webHidden/>
          </w:rPr>
          <w:t>39</w:t>
        </w:r>
        <w:r>
          <w:rPr>
            <w:noProof/>
            <w:webHidden/>
          </w:rPr>
          <w:fldChar w:fldCharType="end"/>
        </w:r>
      </w:hyperlink>
    </w:p>
    <w:p w:rsidR="0096025A" w:rsidRPr="007F1538" w:rsidRDefault="006B3391">
      <w:pPr>
        <w:rPr>
          <w:lang w:val="fr-FR"/>
        </w:rPr>
      </w:pPr>
      <w:r>
        <w:rPr>
          <w:lang w:val="fr-FR"/>
        </w:rPr>
        <w:fldChar w:fldCharType="end"/>
      </w:r>
    </w:p>
    <w:p w:rsidR="009211E0" w:rsidRPr="007F1538" w:rsidRDefault="009211E0" w:rsidP="009211E0">
      <w:pPr>
        <w:tabs>
          <w:tab w:val="left" w:leader="dot" w:pos="8460"/>
        </w:tabs>
        <w:rPr>
          <w:lang w:val="fr-FR"/>
        </w:rPr>
      </w:pPr>
    </w:p>
    <w:p w:rsidR="009211E0" w:rsidRPr="007F1538" w:rsidRDefault="009211E0" w:rsidP="009211E0">
      <w:pPr>
        <w:tabs>
          <w:tab w:val="left" w:leader="dot" w:pos="8460"/>
        </w:tabs>
        <w:rPr>
          <w:lang w:val="fr-FR"/>
        </w:rPr>
      </w:pPr>
    </w:p>
    <w:p w:rsidR="009211E0" w:rsidRPr="007F1538" w:rsidRDefault="009211E0" w:rsidP="009211E0">
      <w:pPr>
        <w:tabs>
          <w:tab w:val="left" w:leader="dot" w:pos="8460"/>
        </w:tabs>
        <w:rPr>
          <w:lang w:val="fr-FR"/>
        </w:rPr>
      </w:pPr>
    </w:p>
    <w:p w:rsidR="009211E0" w:rsidRPr="007F1538" w:rsidRDefault="009211E0" w:rsidP="009211E0">
      <w:pPr>
        <w:tabs>
          <w:tab w:val="left" w:leader="dot" w:pos="8460"/>
        </w:tabs>
        <w:rPr>
          <w:lang w:val="fr-FR"/>
        </w:rPr>
      </w:pPr>
    </w:p>
    <w:p w:rsidR="009211E0" w:rsidRPr="007F1538" w:rsidRDefault="009211E0" w:rsidP="009211E0">
      <w:pPr>
        <w:tabs>
          <w:tab w:val="left" w:leader="dot" w:pos="8460"/>
        </w:tabs>
        <w:rPr>
          <w:lang w:val="fr-FR"/>
        </w:rPr>
      </w:pPr>
    </w:p>
    <w:p w:rsidR="00194DBC" w:rsidRPr="007F1538" w:rsidRDefault="00194DBC" w:rsidP="007155CF">
      <w:pPr>
        <w:rPr>
          <w:lang w:val="fr-FR"/>
        </w:rPr>
      </w:pPr>
    </w:p>
    <w:p w:rsidR="00194DBC" w:rsidRPr="007F1538" w:rsidRDefault="00194DBC" w:rsidP="00B52B54">
      <w:pPr>
        <w:rPr>
          <w:lang w:val="fr-FR"/>
        </w:rPr>
      </w:pPr>
    </w:p>
    <w:p w:rsidR="0096025A" w:rsidRPr="007F1538" w:rsidRDefault="008566E6" w:rsidP="0096025A">
      <w:pPr>
        <w:rPr>
          <w:lang w:val="fr-FR"/>
        </w:rPr>
      </w:pPr>
      <w:bookmarkStart w:id="0" w:name="_Toc231044706"/>
      <w:bookmarkStart w:id="1" w:name="_Toc169421570"/>
      <w:bookmarkStart w:id="2" w:name="_Toc169421731"/>
      <w:r w:rsidRPr="007F1538">
        <w:rPr>
          <w:lang w:val="fr-FR"/>
        </w:rPr>
        <w:br w:type="page"/>
      </w:r>
    </w:p>
    <w:p w:rsidR="00185F9F" w:rsidRPr="007F1538" w:rsidRDefault="00997CCD" w:rsidP="00997CCD">
      <w:pPr>
        <w:pStyle w:val="Heading1"/>
        <w:rPr>
          <w:lang w:val="fr-FR"/>
        </w:rPr>
      </w:pPr>
      <w:bookmarkStart w:id="3" w:name="_Toc267060115"/>
      <w:bookmarkStart w:id="4" w:name="_Toc269220669"/>
      <w:r w:rsidRPr="007F1538">
        <w:rPr>
          <w:lang w:val="fr-FR"/>
        </w:rPr>
        <w:lastRenderedPageBreak/>
        <w:t>Avant-propos</w:t>
      </w:r>
      <w:bookmarkEnd w:id="3"/>
      <w:bookmarkEnd w:id="4"/>
    </w:p>
    <w:p w:rsidR="00185F9F" w:rsidRPr="007F1538" w:rsidRDefault="00185F9F" w:rsidP="00185F9F">
      <w:pPr>
        <w:rPr>
          <w:szCs w:val="24"/>
          <w:lang w:val="fr-FR" w:eastAsia="pl-PL"/>
        </w:rPr>
      </w:pPr>
    </w:p>
    <w:p w:rsidR="00462A51" w:rsidRPr="007F1538" w:rsidRDefault="00997CCD" w:rsidP="00462A51">
      <w:pPr>
        <w:rPr>
          <w:b/>
          <w:lang w:val="fr-FR"/>
        </w:rPr>
      </w:pPr>
      <w:r w:rsidRPr="007F1538">
        <w:rPr>
          <w:b/>
          <w:lang w:val="fr-FR"/>
        </w:rPr>
        <w:t>Vers un changement de cap</w:t>
      </w:r>
    </w:p>
    <w:p w:rsidR="00462A51" w:rsidRPr="007F1538" w:rsidRDefault="00462A51" w:rsidP="00462A51">
      <w:pPr>
        <w:rPr>
          <w:lang w:val="fr-FR"/>
        </w:rPr>
      </w:pPr>
    </w:p>
    <w:p w:rsidR="00462A51" w:rsidRPr="007F1538" w:rsidRDefault="00997CCD" w:rsidP="00462A51">
      <w:pPr>
        <w:rPr>
          <w:lang w:val="fr-FR"/>
        </w:rPr>
      </w:pPr>
      <w:r w:rsidRPr="007F1538">
        <w:rPr>
          <w:lang w:val="fr-FR"/>
        </w:rPr>
        <w:t>En 2009, 1.238 employeurs ont envoyé 15.000 travailleurs à une formation organisée avec le soutien financier et l’avis de l’IFP.</w:t>
      </w:r>
      <w:r w:rsidR="00462A51" w:rsidRPr="007F1538">
        <w:rPr>
          <w:lang w:val="fr-FR"/>
        </w:rPr>
        <w:t xml:space="preserve"> </w:t>
      </w:r>
      <w:r w:rsidRPr="007F1538">
        <w:rPr>
          <w:lang w:val="fr-FR"/>
        </w:rPr>
        <w:t xml:space="preserve">Dans ce domaine, l’IFP, </w:t>
      </w:r>
      <w:r w:rsidR="00C21ACD">
        <w:rPr>
          <w:lang w:val="fr-FR"/>
        </w:rPr>
        <w:t xml:space="preserve">asbl </w:t>
      </w:r>
      <w:r w:rsidRPr="007F1538">
        <w:rPr>
          <w:lang w:val="fr-FR"/>
        </w:rPr>
        <w:t>active depuis 20 ans, a atteint sa vitesse de croisière.</w:t>
      </w:r>
      <w:r w:rsidR="00462A51" w:rsidRPr="007F1538">
        <w:rPr>
          <w:lang w:val="fr-FR"/>
        </w:rPr>
        <w:t xml:space="preserve"> </w:t>
      </w:r>
      <w:r w:rsidRPr="007F1538">
        <w:rPr>
          <w:lang w:val="fr-FR"/>
        </w:rPr>
        <w:t>Le temps est venu de définir de nouveaux objectifs.</w:t>
      </w:r>
      <w:r w:rsidR="00462A51" w:rsidRPr="007F1538">
        <w:rPr>
          <w:lang w:val="fr-FR"/>
        </w:rPr>
        <w:t xml:space="preserve"> </w:t>
      </w:r>
    </w:p>
    <w:p w:rsidR="00462A51" w:rsidRPr="007F1538" w:rsidRDefault="00462A51" w:rsidP="00462A51">
      <w:pPr>
        <w:rPr>
          <w:lang w:val="fr-FR"/>
        </w:rPr>
      </w:pPr>
    </w:p>
    <w:p w:rsidR="00462A51" w:rsidRPr="007F1538" w:rsidRDefault="00462A51" w:rsidP="00462A51">
      <w:pPr>
        <w:rPr>
          <w:lang w:val="fr-FR"/>
        </w:rPr>
      </w:pPr>
      <w:r w:rsidRPr="007F1538">
        <w:rPr>
          <w:lang w:val="fr-FR"/>
        </w:rPr>
        <w:t xml:space="preserve">15.000 </w:t>
      </w:r>
      <w:r w:rsidR="008066E5" w:rsidRPr="008066E5">
        <w:rPr>
          <w:lang w:val="fr-FR"/>
        </w:rPr>
        <w:t>participants</w:t>
      </w:r>
      <w:r w:rsidR="00997CCD" w:rsidRPr="008066E5">
        <w:rPr>
          <w:lang w:val="fr-FR"/>
        </w:rPr>
        <w:t>, cela signifie que 50% de tous les travailleurs de notre secteur ont suivi une formation formelle.</w:t>
      </w:r>
      <w:r w:rsidRPr="007F1538">
        <w:rPr>
          <w:lang w:val="fr-FR"/>
        </w:rPr>
        <w:t xml:space="preserve"> </w:t>
      </w:r>
      <w:r w:rsidR="00997CCD" w:rsidRPr="007F1538">
        <w:rPr>
          <w:lang w:val="fr-FR"/>
        </w:rPr>
        <w:t>Ce résultat n’a été rendu possible qu’en persuadant 1.238 employeurs que la qualité de la formation répondait aux besoins sur le lieu de travail.</w:t>
      </w:r>
      <w:r w:rsidRPr="007F1538">
        <w:rPr>
          <w:lang w:val="fr-FR"/>
        </w:rPr>
        <w:t xml:space="preserve"> </w:t>
      </w:r>
      <w:r w:rsidR="00997CCD" w:rsidRPr="007F1538">
        <w:rPr>
          <w:lang w:val="fr-FR"/>
        </w:rPr>
        <w:t>C’est pourquoi le Conseil d’Administration a félicité à juste titre et sincèrement l’équipe de l’IFP</w:t>
      </w:r>
      <w:r w:rsidR="00C21ACD">
        <w:rPr>
          <w:lang w:val="fr-FR"/>
        </w:rPr>
        <w:t xml:space="preserve"> pour le travail accompli</w:t>
      </w:r>
      <w:r w:rsidR="00997CCD" w:rsidRPr="007F1538">
        <w:rPr>
          <w:lang w:val="fr-FR"/>
        </w:rPr>
        <w:t>.</w:t>
      </w:r>
    </w:p>
    <w:p w:rsidR="00462A51" w:rsidRPr="007F1538" w:rsidRDefault="00462A51" w:rsidP="00462A51">
      <w:pPr>
        <w:rPr>
          <w:lang w:val="fr-FR"/>
        </w:rPr>
      </w:pPr>
    </w:p>
    <w:p w:rsidR="00462A51" w:rsidRPr="007F1538" w:rsidRDefault="00997CCD" w:rsidP="00462A51">
      <w:pPr>
        <w:rPr>
          <w:lang w:val="fr-FR"/>
        </w:rPr>
      </w:pPr>
      <w:r w:rsidRPr="007F1538">
        <w:rPr>
          <w:lang w:val="fr-FR"/>
        </w:rPr>
        <w:t>L’IFP a-t-il atteint ses objectifs ?</w:t>
      </w:r>
      <w:r w:rsidR="00462A51" w:rsidRPr="007F1538">
        <w:rPr>
          <w:lang w:val="fr-FR"/>
        </w:rPr>
        <w:t xml:space="preserve"> </w:t>
      </w:r>
      <w:r w:rsidRPr="007F1538">
        <w:rPr>
          <w:lang w:val="fr-FR"/>
        </w:rPr>
        <w:t>Oui et non.</w:t>
      </w:r>
      <w:r w:rsidR="00462A51" w:rsidRPr="007F1538">
        <w:rPr>
          <w:lang w:val="fr-FR"/>
        </w:rPr>
        <w:t xml:space="preserve"> </w:t>
      </w:r>
    </w:p>
    <w:p w:rsidR="00462A51" w:rsidRPr="007F1538" w:rsidRDefault="00462A51" w:rsidP="00462A51">
      <w:pPr>
        <w:rPr>
          <w:lang w:val="fr-FR"/>
        </w:rPr>
      </w:pPr>
    </w:p>
    <w:p w:rsidR="00462A51" w:rsidRPr="007F1538" w:rsidRDefault="00997CCD" w:rsidP="00462A51">
      <w:pPr>
        <w:rPr>
          <w:lang w:val="fr-FR"/>
        </w:rPr>
      </w:pPr>
      <w:r w:rsidRPr="007F1538">
        <w:rPr>
          <w:lang w:val="fr-FR"/>
        </w:rPr>
        <w:t>Oui, car, au vu du nombre de formations et de participants, l’IFP a un « taux de pénétration » suffisant.</w:t>
      </w:r>
      <w:r w:rsidR="00462A51" w:rsidRPr="007F1538">
        <w:rPr>
          <w:lang w:val="fr-FR"/>
        </w:rPr>
        <w:t xml:space="preserve"> </w:t>
      </w:r>
      <w:r w:rsidRPr="007F1538">
        <w:rPr>
          <w:lang w:val="fr-FR"/>
        </w:rPr>
        <w:t xml:space="preserve">L’IFP contribue </w:t>
      </w:r>
      <w:r w:rsidR="00E62B18">
        <w:rPr>
          <w:lang w:val="fr-FR"/>
        </w:rPr>
        <w:t>largement</w:t>
      </w:r>
      <w:r w:rsidRPr="007F1538">
        <w:rPr>
          <w:lang w:val="fr-FR"/>
        </w:rPr>
        <w:t xml:space="preserve"> à dynamiser le marché du travail.</w:t>
      </w:r>
      <w:r w:rsidR="00462A51" w:rsidRPr="007F1538">
        <w:rPr>
          <w:lang w:val="fr-FR"/>
        </w:rPr>
        <w:t xml:space="preserve"> </w:t>
      </w:r>
      <w:r w:rsidRPr="007F1538">
        <w:rPr>
          <w:lang w:val="fr-FR"/>
        </w:rPr>
        <w:t>Il n’est toutefois pas prévu que l’IFP monopolise toutes les formations.</w:t>
      </w:r>
      <w:r w:rsidR="00462A51" w:rsidRPr="007F1538">
        <w:rPr>
          <w:lang w:val="fr-FR"/>
        </w:rPr>
        <w:t xml:space="preserve"> </w:t>
      </w:r>
      <w:r w:rsidRPr="007F1538">
        <w:rPr>
          <w:lang w:val="fr-FR"/>
        </w:rPr>
        <w:t>Au demeurant, ce succès a un prix.</w:t>
      </w:r>
      <w:r w:rsidR="00462A51" w:rsidRPr="007F1538">
        <w:rPr>
          <w:lang w:val="fr-FR"/>
        </w:rPr>
        <w:t xml:space="preserve"> </w:t>
      </w:r>
      <w:r w:rsidRPr="007F1538">
        <w:rPr>
          <w:lang w:val="fr-FR"/>
        </w:rPr>
        <w:t>Le premier défi de 2010 consiste à trouver des moyens financiers suffisants pour consolider le fonctionnement de l’IFP au niveau qu’il a atteint aujourd’hui.</w:t>
      </w:r>
      <w:r w:rsidR="00462A51" w:rsidRPr="007F1538">
        <w:rPr>
          <w:lang w:val="fr-FR"/>
        </w:rPr>
        <w:t xml:space="preserve"> </w:t>
      </w:r>
      <w:r w:rsidRPr="007F1538">
        <w:rPr>
          <w:lang w:val="fr-FR"/>
        </w:rPr>
        <w:t>Les partenaires sociaux y ont déjà intensivement travaillé.</w:t>
      </w:r>
      <w:r w:rsidR="00462A51" w:rsidRPr="007F1538">
        <w:rPr>
          <w:lang w:val="fr-FR"/>
        </w:rPr>
        <w:t xml:space="preserve"> </w:t>
      </w:r>
      <w:r w:rsidRPr="007F1538">
        <w:rPr>
          <w:lang w:val="fr-FR"/>
        </w:rPr>
        <w:t>Il faudra trouver de nouvelles sources de financement et l’équipe devra en outre tout mettre en œuvre pour réaliser des économies.</w:t>
      </w:r>
      <w:r w:rsidR="00462A51" w:rsidRPr="007F1538">
        <w:rPr>
          <w:lang w:val="fr-FR"/>
        </w:rPr>
        <w:t xml:space="preserve"> </w:t>
      </w:r>
    </w:p>
    <w:p w:rsidR="00462A51" w:rsidRPr="007F1538" w:rsidRDefault="00462A51" w:rsidP="00462A51">
      <w:pPr>
        <w:rPr>
          <w:lang w:val="fr-FR"/>
        </w:rPr>
      </w:pPr>
    </w:p>
    <w:p w:rsidR="00462A51" w:rsidRPr="007F1538" w:rsidRDefault="00997CCD" w:rsidP="00462A51">
      <w:pPr>
        <w:rPr>
          <w:lang w:val="fr-FR"/>
        </w:rPr>
      </w:pPr>
      <w:r w:rsidRPr="007F1538">
        <w:rPr>
          <w:lang w:val="fr-FR"/>
        </w:rPr>
        <w:t>Non, parce que le résultat global présente encore un déséquilibre.</w:t>
      </w:r>
      <w:r w:rsidR="00B67161">
        <w:rPr>
          <w:lang w:val="fr-FR"/>
        </w:rPr>
        <w:t xml:space="preserve"> </w:t>
      </w:r>
      <w:r w:rsidRPr="007F1538">
        <w:rPr>
          <w:lang w:val="fr-FR"/>
        </w:rPr>
        <w:t>L’IFP, en tant qu’organisme sectoriel disposant de moyens mutualisés, doit parvenir à faire bouger tout le secteur.</w:t>
      </w:r>
      <w:r w:rsidR="00462A51" w:rsidRPr="007F1538">
        <w:rPr>
          <w:lang w:val="fr-FR"/>
        </w:rPr>
        <w:t xml:space="preserve"> </w:t>
      </w:r>
      <w:r w:rsidRPr="007F1538">
        <w:rPr>
          <w:lang w:val="fr-FR"/>
        </w:rPr>
        <w:t>Nous parlons de dimension qualitative de la politique qui ne concerne pas tant la qualité des formations, mais plutôt la politique des groupes cibles.</w:t>
      </w:r>
      <w:r w:rsidR="00462A51" w:rsidRPr="007F1538">
        <w:rPr>
          <w:lang w:val="fr-FR"/>
        </w:rPr>
        <w:t xml:space="preserve"> </w:t>
      </w:r>
      <w:r w:rsidRPr="007F1538">
        <w:rPr>
          <w:lang w:val="fr-FR"/>
        </w:rPr>
        <w:t>L'IFP doit parvenir à atteindre également les groupes restés au second plan.</w:t>
      </w:r>
      <w:r w:rsidR="00462A51" w:rsidRPr="007F1538">
        <w:rPr>
          <w:lang w:val="fr-FR"/>
        </w:rPr>
        <w:t xml:space="preserve"> </w:t>
      </w:r>
    </w:p>
    <w:p w:rsidR="00462A51" w:rsidRPr="007F1538" w:rsidRDefault="00462A51" w:rsidP="00462A51">
      <w:pPr>
        <w:rPr>
          <w:lang w:val="fr-FR"/>
        </w:rPr>
      </w:pPr>
    </w:p>
    <w:p w:rsidR="00462A51" w:rsidRPr="007F1538" w:rsidRDefault="00997CCD" w:rsidP="00462A51">
      <w:pPr>
        <w:rPr>
          <w:lang w:val="fr-FR"/>
        </w:rPr>
      </w:pPr>
      <w:r w:rsidRPr="008066E5">
        <w:rPr>
          <w:lang w:val="fr-FR"/>
        </w:rPr>
        <w:t>La lecture du présent rappor</w:t>
      </w:r>
      <w:r w:rsidR="008066E5" w:rsidRPr="008066E5">
        <w:rPr>
          <w:lang w:val="fr-FR"/>
        </w:rPr>
        <w:t>t nous apprend que ces groupes s</w:t>
      </w:r>
      <w:r w:rsidRPr="008066E5">
        <w:rPr>
          <w:lang w:val="fr-FR"/>
        </w:rPr>
        <w:t>e composent essentiellement de PME.</w:t>
      </w:r>
      <w:r w:rsidR="00462A51" w:rsidRPr="007F1538">
        <w:rPr>
          <w:lang w:val="fr-FR"/>
        </w:rPr>
        <w:t xml:space="preserve"> </w:t>
      </w:r>
      <w:r w:rsidRPr="007F1538">
        <w:rPr>
          <w:lang w:val="fr-FR"/>
        </w:rPr>
        <w:t xml:space="preserve">Il existe deux types d’employeurs </w:t>
      </w:r>
      <w:r w:rsidRPr="00D223F5">
        <w:rPr>
          <w:lang w:val="fr-FR"/>
        </w:rPr>
        <w:t xml:space="preserve">qui font (proportionnellement) </w:t>
      </w:r>
      <w:r w:rsidR="00D223F5" w:rsidRPr="00D223F5">
        <w:rPr>
          <w:lang w:val="fr-FR"/>
        </w:rPr>
        <w:t xml:space="preserve">moins </w:t>
      </w:r>
      <w:r w:rsidRPr="00D223F5">
        <w:rPr>
          <w:lang w:val="fr-FR"/>
        </w:rPr>
        <w:t>appel à l’IFP.</w:t>
      </w:r>
      <w:r w:rsidR="00462A51" w:rsidRPr="007F1538">
        <w:rPr>
          <w:lang w:val="fr-FR"/>
        </w:rPr>
        <w:t xml:space="preserve"> </w:t>
      </w:r>
      <w:r w:rsidRPr="007F1538">
        <w:rPr>
          <w:lang w:val="fr-FR"/>
        </w:rPr>
        <w:t xml:space="preserve">Les premiers sont les employeurs </w:t>
      </w:r>
      <w:r w:rsidRPr="00D223F5">
        <w:rPr>
          <w:lang w:val="fr-FR"/>
        </w:rPr>
        <w:t>wallons</w:t>
      </w:r>
      <w:r w:rsidRPr="007F1538">
        <w:rPr>
          <w:lang w:val="fr-FR"/>
        </w:rPr>
        <w:t>.</w:t>
      </w:r>
      <w:r w:rsidR="00462A51" w:rsidRPr="007F1538">
        <w:rPr>
          <w:lang w:val="fr-FR"/>
        </w:rPr>
        <w:t xml:space="preserve"> </w:t>
      </w:r>
      <w:r w:rsidRPr="007F1538">
        <w:rPr>
          <w:lang w:val="fr-FR"/>
        </w:rPr>
        <w:t>Les deuxièmes font partie des secteurs de la viande, de la torréfaction et des boulangeries.</w:t>
      </w:r>
      <w:r w:rsidR="00462A51" w:rsidRPr="007F1538">
        <w:rPr>
          <w:lang w:val="fr-FR"/>
        </w:rPr>
        <w:t xml:space="preserve"> </w:t>
      </w:r>
      <w:r w:rsidRPr="007F1538">
        <w:rPr>
          <w:lang w:val="fr-FR"/>
        </w:rPr>
        <w:t>Les deux groupes ont un point commun :</w:t>
      </w:r>
      <w:r w:rsidR="00C9052F" w:rsidRPr="007F1538">
        <w:rPr>
          <w:lang w:val="fr-FR"/>
        </w:rPr>
        <w:t xml:space="preserve"> </w:t>
      </w:r>
      <w:r w:rsidRPr="007F1538">
        <w:rPr>
          <w:lang w:val="fr-FR"/>
        </w:rPr>
        <w:t>ce sont essentiellement des PME.</w:t>
      </w:r>
    </w:p>
    <w:p w:rsidR="00C9052F" w:rsidRPr="007F1538" w:rsidRDefault="00C9052F" w:rsidP="00462A51">
      <w:pPr>
        <w:rPr>
          <w:lang w:val="fr-FR"/>
        </w:rPr>
      </w:pPr>
    </w:p>
    <w:p w:rsidR="00462A51" w:rsidRPr="007F1538" w:rsidRDefault="00997CCD" w:rsidP="00462A51">
      <w:pPr>
        <w:rPr>
          <w:lang w:val="fr-FR"/>
        </w:rPr>
      </w:pPr>
      <w:r w:rsidRPr="007F1538">
        <w:rPr>
          <w:lang w:val="fr-FR"/>
        </w:rPr>
        <w:t>En deuxième lieu, nous trouvons les demandeurs d’emploi.</w:t>
      </w:r>
      <w:r w:rsidR="00462A51" w:rsidRPr="007F1538">
        <w:rPr>
          <w:lang w:val="fr-FR"/>
        </w:rPr>
        <w:t xml:space="preserve"> </w:t>
      </w:r>
      <w:r w:rsidRPr="007F1538">
        <w:rPr>
          <w:lang w:val="fr-FR"/>
        </w:rPr>
        <w:t>L’IFP n’atteint que trop peu ce groupe cible.</w:t>
      </w:r>
      <w:r w:rsidR="00462A51" w:rsidRPr="007F1538">
        <w:rPr>
          <w:lang w:val="fr-FR"/>
        </w:rPr>
        <w:t xml:space="preserve"> </w:t>
      </w:r>
      <w:r w:rsidRPr="007F1538">
        <w:rPr>
          <w:lang w:val="fr-FR"/>
        </w:rPr>
        <w:t>En Wallonie, la situation est plus claire grâce à la collaboration avec FormAlim.</w:t>
      </w:r>
      <w:r w:rsidR="00462A51" w:rsidRPr="007F1538">
        <w:rPr>
          <w:lang w:val="fr-FR"/>
        </w:rPr>
        <w:t xml:space="preserve"> </w:t>
      </w:r>
      <w:r w:rsidRPr="007F1538">
        <w:rPr>
          <w:lang w:val="fr-FR"/>
        </w:rPr>
        <w:t>En Flandre, le VDAB ne peut fournir aucun chiffre global des demandeurs d’emploi qui ont trouvé du travail dans notre secteur grâce à une formation.</w:t>
      </w:r>
    </w:p>
    <w:p w:rsidR="00462A51" w:rsidRPr="007F1538" w:rsidRDefault="00462A51" w:rsidP="00462A51">
      <w:pPr>
        <w:rPr>
          <w:lang w:val="fr-FR"/>
        </w:rPr>
      </w:pPr>
    </w:p>
    <w:p w:rsidR="00462A51" w:rsidRPr="007F1538" w:rsidRDefault="00997CCD" w:rsidP="00462A51">
      <w:pPr>
        <w:rPr>
          <w:lang w:val="fr-FR"/>
        </w:rPr>
      </w:pPr>
      <w:r w:rsidRPr="007F1538">
        <w:rPr>
          <w:lang w:val="fr-FR"/>
        </w:rPr>
        <w:t>En troisième lieu, nous avons la collaboration avec les écoles.</w:t>
      </w:r>
      <w:r w:rsidR="00462A51" w:rsidRPr="007F1538">
        <w:rPr>
          <w:lang w:val="fr-FR"/>
        </w:rPr>
        <w:t xml:space="preserve"> </w:t>
      </w:r>
      <w:r w:rsidRPr="007F1538">
        <w:rPr>
          <w:lang w:val="fr-FR"/>
        </w:rPr>
        <w:t>L’apprentissage industriel ne parvient pas à décoller.</w:t>
      </w:r>
      <w:r w:rsidR="00462A51" w:rsidRPr="007F1538">
        <w:rPr>
          <w:lang w:val="fr-FR"/>
        </w:rPr>
        <w:t xml:space="preserve"> </w:t>
      </w:r>
      <w:r w:rsidRPr="00983E86">
        <w:rPr>
          <w:lang w:val="fr-FR"/>
        </w:rPr>
        <w:t>Cette situation s’explique par de nombreuses raisons, notamment le système de cascade et la structure juridique dépassé</w:t>
      </w:r>
      <w:r w:rsidR="00983E86" w:rsidRPr="00983E86">
        <w:rPr>
          <w:lang w:val="fr-FR"/>
        </w:rPr>
        <w:t>e</w:t>
      </w:r>
      <w:r w:rsidRPr="00983E86">
        <w:rPr>
          <w:lang w:val="fr-FR"/>
        </w:rPr>
        <w:t xml:space="preserve"> sur laquelle nous n’avons pas la mainmise.</w:t>
      </w:r>
      <w:r w:rsidR="00462A51" w:rsidRPr="007F1538">
        <w:rPr>
          <w:lang w:val="fr-FR"/>
        </w:rPr>
        <w:t xml:space="preserve"> </w:t>
      </w:r>
      <w:r w:rsidRPr="007F1538">
        <w:rPr>
          <w:lang w:val="fr-FR"/>
        </w:rPr>
        <w:t>Pour le reste, les chiffres 2009 sont encourageants :</w:t>
      </w:r>
      <w:r w:rsidR="00462A51" w:rsidRPr="007F1538">
        <w:rPr>
          <w:lang w:val="fr-FR"/>
        </w:rPr>
        <w:t xml:space="preserve"> </w:t>
      </w:r>
      <w:r w:rsidRPr="00983E86">
        <w:rPr>
          <w:lang w:val="fr-FR"/>
        </w:rPr>
        <w:t>l’IFP atteint de plus en plus d’école</w:t>
      </w:r>
      <w:r w:rsidR="00983E86" w:rsidRPr="00983E86">
        <w:rPr>
          <w:lang w:val="fr-FR"/>
        </w:rPr>
        <w:t>s</w:t>
      </w:r>
      <w:r w:rsidRPr="00983E86">
        <w:rPr>
          <w:lang w:val="fr-FR"/>
        </w:rPr>
        <w:t>, d’enseignants et d’élèves.</w:t>
      </w:r>
    </w:p>
    <w:p w:rsidR="00462A51" w:rsidRPr="007F1538" w:rsidRDefault="00462A51" w:rsidP="00462A51">
      <w:pPr>
        <w:rPr>
          <w:lang w:val="fr-FR"/>
        </w:rPr>
      </w:pPr>
    </w:p>
    <w:p w:rsidR="00FC5C92" w:rsidRPr="007F1538" w:rsidRDefault="00997CCD" w:rsidP="005E7B20">
      <w:pPr>
        <w:rPr>
          <w:lang w:val="fr-FR"/>
        </w:rPr>
      </w:pPr>
      <w:r w:rsidRPr="007F1538">
        <w:rPr>
          <w:lang w:val="fr-FR"/>
        </w:rPr>
        <w:t>Avec le Conseil d’Administration et l’équipe, je suis donc plutôt satisfait des résultats de 2009, mais pas encore assez confiant pour l’avenir.</w:t>
      </w:r>
      <w:r w:rsidR="00462A51" w:rsidRPr="007F1538">
        <w:rPr>
          <w:lang w:val="fr-FR"/>
        </w:rPr>
        <w:t xml:space="preserve"> </w:t>
      </w:r>
      <w:r w:rsidRPr="007F1538">
        <w:rPr>
          <w:lang w:val="fr-FR"/>
        </w:rPr>
        <w:t>Si nous parvenons à pérenniser financièrement l’équipe, et j’ose espérer que ce sera le cas, l’IFP tiendra encore mieux compte de la dimension qualitative de la politique que les partenaires sociaux souhaitent mener.</w:t>
      </w:r>
      <w:r w:rsidR="00462A51" w:rsidRPr="007F1538">
        <w:rPr>
          <w:lang w:val="fr-FR"/>
        </w:rPr>
        <w:t xml:space="preserve"> </w:t>
      </w:r>
    </w:p>
    <w:p w:rsidR="00462A51" w:rsidRPr="007F1538" w:rsidRDefault="00462A51" w:rsidP="005E7B20">
      <w:pPr>
        <w:rPr>
          <w:szCs w:val="24"/>
          <w:lang w:val="fr-FR" w:eastAsia="nl-BE"/>
        </w:rPr>
      </w:pPr>
    </w:p>
    <w:p w:rsidR="005E7B20" w:rsidRPr="007F1538" w:rsidRDefault="00997CCD" w:rsidP="005E7B20">
      <w:pPr>
        <w:rPr>
          <w:szCs w:val="24"/>
          <w:lang w:val="fr-FR" w:eastAsia="nl-BE"/>
        </w:rPr>
      </w:pPr>
      <w:r w:rsidRPr="007F1538">
        <w:rPr>
          <w:szCs w:val="24"/>
          <w:lang w:val="fr-FR" w:eastAsia="nl-BE"/>
        </w:rPr>
        <w:t>Manou Doutrepont</w:t>
      </w:r>
    </w:p>
    <w:p w:rsidR="00BA2FAD" w:rsidRPr="007F1538" w:rsidRDefault="00997CCD" w:rsidP="00185F9F">
      <w:pPr>
        <w:rPr>
          <w:szCs w:val="24"/>
          <w:lang w:val="fr-FR" w:eastAsia="pl-PL"/>
        </w:rPr>
      </w:pPr>
      <w:r w:rsidRPr="007F1538">
        <w:rPr>
          <w:szCs w:val="24"/>
          <w:lang w:val="fr-FR" w:eastAsia="nl-BE"/>
        </w:rPr>
        <w:t>Président IFP</w:t>
      </w:r>
    </w:p>
    <w:p w:rsidR="00642FFB" w:rsidRPr="007F1538" w:rsidRDefault="00BA2FAD" w:rsidP="00997CCD">
      <w:pPr>
        <w:pStyle w:val="Heading1"/>
        <w:rPr>
          <w:lang w:val="fr-FR"/>
        </w:rPr>
      </w:pPr>
      <w:r w:rsidRPr="007F1538">
        <w:rPr>
          <w:szCs w:val="24"/>
          <w:lang w:val="fr-FR" w:eastAsia="pl-PL"/>
        </w:rPr>
        <w:br w:type="page"/>
      </w:r>
      <w:bookmarkStart w:id="5" w:name="_Toc267060116"/>
      <w:bookmarkStart w:id="6" w:name="_Toc269220670"/>
      <w:bookmarkEnd w:id="0"/>
      <w:r w:rsidR="00997CCD" w:rsidRPr="007F1538">
        <w:rPr>
          <w:lang w:val="fr-FR"/>
        </w:rPr>
        <w:lastRenderedPageBreak/>
        <w:t>Formations dans l’industrie alimentaire</w:t>
      </w:r>
      <w:bookmarkEnd w:id="5"/>
      <w:bookmarkEnd w:id="6"/>
    </w:p>
    <w:p w:rsidR="00642FFB" w:rsidRPr="007F1538" w:rsidRDefault="00997CCD" w:rsidP="00997CCD">
      <w:pPr>
        <w:pStyle w:val="Heading2"/>
        <w:rPr>
          <w:lang w:val="fr-FR"/>
        </w:rPr>
      </w:pPr>
      <w:bookmarkStart w:id="7" w:name="_Toc267060117"/>
      <w:bookmarkStart w:id="8" w:name="_Toc269220671"/>
      <w:r w:rsidRPr="007F1538">
        <w:rPr>
          <w:lang w:val="fr-FR"/>
        </w:rPr>
        <w:t>Efforts de formation dans le secteur en Belgique</w:t>
      </w:r>
      <w:bookmarkEnd w:id="7"/>
      <w:bookmarkEnd w:id="8"/>
    </w:p>
    <w:p w:rsidR="009C127B" w:rsidRPr="007F1538" w:rsidRDefault="00997CCD" w:rsidP="007F53D5">
      <w:pPr>
        <w:rPr>
          <w:szCs w:val="24"/>
          <w:lang w:val="fr-FR" w:eastAsia="nl-BE"/>
        </w:rPr>
      </w:pPr>
      <w:r w:rsidRPr="007F1538">
        <w:rPr>
          <w:szCs w:val="24"/>
          <w:lang w:val="fr-FR" w:eastAsia="nl-BE"/>
        </w:rPr>
        <w:t>Les partenaires sociaux du secteur alimentaire ont défini les objectifs suivants en matière de formation :</w:t>
      </w:r>
    </w:p>
    <w:p w:rsidR="00F8479D" w:rsidRPr="007F1538" w:rsidRDefault="00997CCD" w:rsidP="00F8479D">
      <w:pPr>
        <w:numPr>
          <w:ilvl w:val="0"/>
          <w:numId w:val="7"/>
        </w:numPr>
        <w:tabs>
          <w:tab w:val="num" w:pos="180"/>
        </w:tabs>
        <w:ind w:left="180" w:hanging="180"/>
        <w:rPr>
          <w:szCs w:val="24"/>
          <w:lang w:val="fr-FR" w:eastAsia="nl-BE"/>
        </w:rPr>
      </w:pPr>
      <w:r w:rsidRPr="007F1538">
        <w:rPr>
          <w:szCs w:val="24"/>
          <w:lang w:val="fr-FR" w:eastAsia="nl-BE"/>
        </w:rPr>
        <w:t>investir 1,00% du temps de travail dans la formation en 2009 (1,10% en 2010),</w:t>
      </w:r>
      <w:r w:rsidR="00F8479D" w:rsidRPr="007F1538">
        <w:rPr>
          <w:szCs w:val="24"/>
          <w:lang w:val="fr-FR" w:eastAsia="nl-BE"/>
        </w:rPr>
        <w:t xml:space="preserve"> </w:t>
      </w:r>
    </w:p>
    <w:p w:rsidR="00F8479D" w:rsidRPr="007F1538" w:rsidRDefault="00997CCD" w:rsidP="00F8479D">
      <w:pPr>
        <w:numPr>
          <w:ilvl w:val="0"/>
          <w:numId w:val="7"/>
        </w:numPr>
        <w:tabs>
          <w:tab w:val="num" w:pos="180"/>
        </w:tabs>
        <w:ind w:left="180" w:hanging="180"/>
        <w:rPr>
          <w:szCs w:val="24"/>
          <w:lang w:val="fr-FR" w:eastAsia="nl-BE"/>
        </w:rPr>
      </w:pPr>
      <w:r w:rsidRPr="008066E5">
        <w:rPr>
          <w:szCs w:val="24"/>
          <w:lang w:val="fr-FR" w:eastAsia="nl-BE"/>
        </w:rPr>
        <w:t xml:space="preserve">investir </w:t>
      </w:r>
      <w:r w:rsidR="008066E5" w:rsidRPr="008066E5">
        <w:rPr>
          <w:szCs w:val="24"/>
          <w:lang w:val="fr-FR" w:eastAsia="nl-BE"/>
        </w:rPr>
        <w:t>0,15</w:t>
      </w:r>
      <w:r w:rsidRPr="008066E5">
        <w:rPr>
          <w:szCs w:val="24"/>
          <w:lang w:val="fr-FR" w:eastAsia="nl-BE"/>
        </w:rPr>
        <w:t>% d</w:t>
      </w:r>
      <w:r w:rsidR="008066E5" w:rsidRPr="008066E5">
        <w:rPr>
          <w:szCs w:val="24"/>
          <w:lang w:val="fr-FR" w:eastAsia="nl-BE"/>
        </w:rPr>
        <w:t>e la masse salariale brute</w:t>
      </w:r>
      <w:r w:rsidRPr="008066E5">
        <w:rPr>
          <w:szCs w:val="24"/>
          <w:lang w:val="fr-FR" w:eastAsia="nl-BE"/>
        </w:rPr>
        <w:t xml:space="preserve"> dans la formation </w:t>
      </w:r>
      <w:r w:rsidR="008066E5" w:rsidRPr="008066E5">
        <w:rPr>
          <w:szCs w:val="24"/>
          <w:lang w:val="fr-FR" w:eastAsia="nl-BE"/>
        </w:rPr>
        <w:t xml:space="preserve">des groupes à </w:t>
      </w:r>
      <w:r w:rsidR="00B67161">
        <w:rPr>
          <w:szCs w:val="24"/>
          <w:lang w:val="fr-FR" w:eastAsia="nl-BE"/>
        </w:rPr>
        <w:t>risque</w:t>
      </w:r>
      <w:r w:rsidRPr="008066E5">
        <w:rPr>
          <w:szCs w:val="24"/>
          <w:lang w:val="fr-FR" w:eastAsia="nl-BE"/>
        </w:rPr>
        <w:t>,</w:t>
      </w:r>
    </w:p>
    <w:p w:rsidR="00F8479D" w:rsidRPr="007F1538" w:rsidRDefault="008066E5" w:rsidP="00F8479D">
      <w:pPr>
        <w:numPr>
          <w:ilvl w:val="0"/>
          <w:numId w:val="7"/>
        </w:numPr>
        <w:tabs>
          <w:tab w:val="num" w:pos="180"/>
        </w:tabs>
        <w:ind w:left="180" w:hanging="180"/>
        <w:rPr>
          <w:szCs w:val="24"/>
          <w:lang w:val="fr-FR" w:eastAsia="nl-BE"/>
        </w:rPr>
      </w:pPr>
      <w:r w:rsidRPr="008066E5">
        <w:rPr>
          <w:szCs w:val="24"/>
          <w:lang w:val="fr-FR" w:eastAsia="nl-BE"/>
        </w:rPr>
        <w:t xml:space="preserve">à partir de 2010, </w:t>
      </w:r>
      <w:r w:rsidR="00997CCD" w:rsidRPr="008066E5">
        <w:rPr>
          <w:szCs w:val="24"/>
          <w:lang w:val="fr-FR" w:eastAsia="nl-BE"/>
        </w:rPr>
        <w:t>organiser chaque année des forma</w:t>
      </w:r>
      <w:r w:rsidRPr="008066E5">
        <w:rPr>
          <w:szCs w:val="24"/>
          <w:lang w:val="fr-FR" w:eastAsia="nl-BE"/>
        </w:rPr>
        <w:t>tions pour 50% des travailleurs</w:t>
      </w:r>
      <w:r w:rsidR="00997CCD" w:rsidRPr="008066E5">
        <w:rPr>
          <w:szCs w:val="24"/>
          <w:lang w:val="fr-FR" w:eastAsia="nl-BE"/>
        </w:rPr>
        <w:t>.</w:t>
      </w:r>
    </w:p>
    <w:p w:rsidR="009C127B" w:rsidRPr="007F1538" w:rsidRDefault="009C127B" w:rsidP="007F53D5">
      <w:pPr>
        <w:rPr>
          <w:szCs w:val="24"/>
          <w:lang w:val="fr-FR" w:eastAsia="nl-BE"/>
        </w:rPr>
      </w:pPr>
    </w:p>
    <w:p w:rsidR="000F0C98" w:rsidRPr="007F1538" w:rsidRDefault="000F0C98" w:rsidP="000F0C98">
      <w:pPr>
        <w:rPr>
          <w:rFonts w:cs="Arial"/>
          <w:lang w:val="fr-FR"/>
        </w:rPr>
      </w:pP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i/>
          <w:color w:val="000000"/>
          <w:lang w:val="fr-FR"/>
        </w:rPr>
        <w:t xml:space="preserve"> </w:t>
      </w:r>
      <w:r w:rsidR="00997CCD" w:rsidRPr="007F1538">
        <w:rPr>
          <w:rFonts w:cs="Arial"/>
          <w:b/>
          <w:i/>
          <w:color w:val="000000"/>
          <w:shd w:val="pct70" w:color="FFFFFF" w:fill="auto"/>
          <w:lang w:val="fr-FR"/>
        </w:rPr>
        <w:t>*** 20 ans de l’IFP ***</w:t>
      </w: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0F0C98" w:rsidRPr="007F1538" w:rsidRDefault="00997CCD" w:rsidP="00997CCD">
      <w:pPr>
        <w:pBdr>
          <w:top w:val="single" w:sz="4" w:space="1" w:color="auto"/>
          <w:left w:val="single" w:sz="4" w:space="1" w:color="auto"/>
          <w:bottom w:val="single" w:sz="4" w:space="1" w:color="auto"/>
          <w:right w:val="single" w:sz="4" w:space="1" w:color="auto"/>
        </w:pBdr>
        <w:jc w:val="center"/>
        <w:rPr>
          <w:rFonts w:cs="Arial"/>
          <w:b/>
          <w:i/>
          <w:color w:val="000000"/>
          <w:lang w:val="fr-FR"/>
        </w:rPr>
      </w:pPr>
      <w:r w:rsidRPr="007F1538">
        <w:rPr>
          <w:rFonts w:cs="Arial"/>
          <w:b/>
          <w:i/>
          <w:color w:val="000000"/>
          <w:lang w:val="fr-FR"/>
        </w:rPr>
        <w:t>La formation gagne en importance</w:t>
      </w: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7F1538">
        <w:rPr>
          <w:rFonts w:cs="Arial"/>
          <w:i/>
          <w:color w:val="000000"/>
          <w:lang w:val="fr-FR"/>
        </w:rPr>
        <w:t>***</w:t>
      </w: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rPr>
          <w:rFonts w:cs="Arial"/>
          <w:i/>
          <w:lang w:val="fr-FR"/>
        </w:rPr>
      </w:pPr>
    </w:p>
    <w:p w:rsidR="00E36F2E" w:rsidRPr="007F1538" w:rsidRDefault="00997CCD" w:rsidP="00997CCD">
      <w:pPr>
        <w:pBdr>
          <w:top w:val="single" w:sz="4" w:space="2" w:color="C0C0C0"/>
          <w:left w:val="single" w:sz="4" w:space="2" w:color="C0C0C0"/>
          <w:bottom w:val="single" w:sz="4" w:space="2" w:color="C0C0C0"/>
          <w:right w:val="single" w:sz="4" w:space="2" w:color="C0C0C0"/>
        </w:pBdr>
        <w:shd w:val="pct70" w:color="FFFFFF" w:fill="C0C0C0"/>
        <w:rPr>
          <w:rFonts w:cs="Arial"/>
          <w:i/>
          <w:lang w:val="fr-FR"/>
        </w:rPr>
      </w:pPr>
      <w:r w:rsidRPr="007F1538">
        <w:rPr>
          <w:rFonts w:cs="Arial"/>
          <w:lang w:val="fr-FR"/>
        </w:rPr>
        <w:t>Une analyse des besoins en compétences du secteur (Baisier, 2006) nous apprend que « </w:t>
      </w:r>
      <w:r w:rsidRPr="007F1538">
        <w:rPr>
          <w:rFonts w:cs="Arial"/>
          <w:i/>
          <w:lang w:val="fr-FR"/>
        </w:rPr>
        <w:t>l’environnement dans lequel l’industrie alimentaire est active évolue rapidement.</w:t>
      </w:r>
      <w:r w:rsidR="00E36F2E" w:rsidRPr="007F1538">
        <w:rPr>
          <w:rFonts w:cs="Arial"/>
          <w:i/>
          <w:lang w:val="fr-FR"/>
        </w:rPr>
        <w:t xml:space="preserve"> </w:t>
      </w:r>
      <w:r w:rsidRPr="007F1538">
        <w:rPr>
          <w:rFonts w:cs="Arial"/>
          <w:i/>
          <w:lang w:val="fr-FR"/>
        </w:rPr>
        <w:t>Les souhaits du consommateur moderne changent constamment.</w:t>
      </w:r>
      <w:r w:rsidR="00E36F2E" w:rsidRPr="007F1538">
        <w:rPr>
          <w:rFonts w:cs="Arial"/>
          <w:i/>
          <w:lang w:val="fr-FR"/>
        </w:rPr>
        <w:t xml:space="preserve"> </w:t>
      </w:r>
      <w:r w:rsidRPr="007F1538">
        <w:rPr>
          <w:rFonts w:cs="Arial"/>
          <w:i/>
          <w:lang w:val="fr-FR"/>
        </w:rPr>
        <w:t>Les développements dans la grande distribution qui exerce une forte pression sur le prix, contraignent les entreprises alimentaires à produire à des prix sans cesse plus concurrentiels et à commercialiser constamment de nouveaux produits.</w:t>
      </w:r>
      <w:r w:rsidR="00E36F2E" w:rsidRPr="007F1538">
        <w:rPr>
          <w:rFonts w:cs="Arial"/>
          <w:i/>
          <w:lang w:val="fr-FR"/>
        </w:rPr>
        <w:t xml:space="preserve"> </w:t>
      </w:r>
      <w:r w:rsidRPr="007F1538">
        <w:rPr>
          <w:rFonts w:cs="Arial"/>
          <w:i/>
          <w:lang w:val="fr-FR"/>
        </w:rPr>
        <w:t>En outre, le secteur est également confronté à une globalisation croissante.</w:t>
      </w:r>
      <w:r w:rsidR="00E36F2E" w:rsidRPr="007F1538">
        <w:rPr>
          <w:rFonts w:cs="Arial"/>
          <w:i/>
          <w:lang w:val="fr-FR"/>
        </w:rPr>
        <w:t xml:space="preserve"> </w:t>
      </w:r>
      <w:r w:rsidRPr="007F1538">
        <w:rPr>
          <w:rFonts w:cs="Arial"/>
          <w:i/>
          <w:lang w:val="fr-FR"/>
        </w:rPr>
        <w:t>On exporte plus, mais les entreprises font ici également face à davantage de concurrence de la part d’entreprises étrangères.</w:t>
      </w:r>
      <w:r w:rsidR="00E36F2E" w:rsidRPr="007F1538">
        <w:rPr>
          <w:rFonts w:cs="Arial"/>
          <w:i/>
          <w:lang w:val="fr-FR"/>
        </w:rPr>
        <w:t xml:space="preserve"> </w:t>
      </w:r>
      <w:r w:rsidRPr="007F1538">
        <w:rPr>
          <w:rFonts w:cs="Arial"/>
          <w:i/>
          <w:lang w:val="fr-FR"/>
        </w:rPr>
        <w:t>Par conséquent, la position des entreprises alimentaires belges se modifie.</w:t>
      </w:r>
      <w:r w:rsidR="00E36F2E" w:rsidRPr="007F1538">
        <w:rPr>
          <w:rFonts w:cs="Arial"/>
          <w:i/>
          <w:lang w:val="fr-FR"/>
        </w:rPr>
        <w:t xml:space="preserve"> </w:t>
      </w:r>
    </w:p>
    <w:p w:rsidR="00E36F2E" w:rsidRPr="007F1538" w:rsidRDefault="00E36F2E" w:rsidP="00997CCD">
      <w:pPr>
        <w:pBdr>
          <w:top w:val="single" w:sz="4" w:space="2" w:color="C0C0C0"/>
          <w:left w:val="single" w:sz="4" w:space="2" w:color="C0C0C0"/>
          <w:bottom w:val="single" w:sz="4" w:space="2" w:color="C0C0C0"/>
          <w:right w:val="single" w:sz="4" w:space="2" w:color="C0C0C0"/>
        </w:pBdr>
        <w:shd w:val="pct70" w:color="FFFFFF" w:fill="C0C0C0"/>
        <w:rPr>
          <w:rFonts w:cs="Arial"/>
          <w:i/>
          <w:lang w:val="fr-FR"/>
        </w:rPr>
      </w:pPr>
    </w:p>
    <w:p w:rsidR="00E36F2E" w:rsidRPr="007F1538" w:rsidRDefault="00997CCD" w:rsidP="00997CCD">
      <w:pPr>
        <w:pBdr>
          <w:top w:val="single" w:sz="4" w:space="2" w:color="C0C0C0"/>
          <w:left w:val="single" w:sz="4" w:space="2" w:color="C0C0C0"/>
          <w:bottom w:val="single" w:sz="4" w:space="2" w:color="C0C0C0"/>
          <w:right w:val="single" w:sz="4" w:space="2" w:color="C0C0C0"/>
        </w:pBdr>
        <w:shd w:val="pct70" w:color="FFFFFF" w:fill="C0C0C0"/>
        <w:rPr>
          <w:rFonts w:cs="Arial"/>
          <w:i/>
          <w:lang w:val="fr-FR"/>
        </w:rPr>
      </w:pPr>
      <w:r w:rsidRPr="007F1538">
        <w:rPr>
          <w:rFonts w:cs="Arial"/>
          <w:i/>
          <w:lang w:val="fr-FR"/>
        </w:rPr>
        <w:t>Les changements sont également nombreux dans l’organisation de la production et du travail, c’est-à-dire dans les ateliers.</w:t>
      </w:r>
      <w:r w:rsidR="00E36F2E" w:rsidRPr="007F1538">
        <w:rPr>
          <w:rFonts w:cs="Arial"/>
          <w:i/>
          <w:lang w:val="fr-FR"/>
        </w:rPr>
        <w:t xml:space="preserve"> </w:t>
      </w:r>
      <w:r w:rsidRPr="007F1538">
        <w:rPr>
          <w:rFonts w:cs="Arial"/>
          <w:i/>
          <w:lang w:val="fr-FR"/>
        </w:rPr>
        <w:t>Les clients exigent plus de qualité et plus de contrôle sur la sécurité alimentaire.</w:t>
      </w:r>
      <w:r w:rsidR="00E36F2E" w:rsidRPr="007F1538">
        <w:rPr>
          <w:rFonts w:cs="Arial"/>
          <w:i/>
          <w:lang w:val="fr-FR"/>
        </w:rPr>
        <w:t xml:space="preserve"> </w:t>
      </w:r>
      <w:r w:rsidRPr="007F1538">
        <w:rPr>
          <w:rFonts w:cs="Arial"/>
          <w:i/>
          <w:lang w:val="fr-FR"/>
        </w:rPr>
        <w:t>L’automatisation et l’informatisation de la production augmentent.</w:t>
      </w:r>
      <w:r w:rsidR="00E36F2E" w:rsidRPr="007F1538">
        <w:rPr>
          <w:rFonts w:cs="Arial"/>
          <w:i/>
          <w:lang w:val="fr-FR"/>
        </w:rPr>
        <w:t xml:space="preserve"> </w:t>
      </w:r>
      <w:r w:rsidRPr="00983E86">
        <w:rPr>
          <w:rFonts w:cs="Arial"/>
          <w:i/>
          <w:shd w:val="pct70" w:color="FFFFFF" w:fill="auto"/>
          <w:lang w:val="fr-FR"/>
        </w:rPr>
        <w:t>Des entreprises sont active</w:t>
      </w:r>
      <w:r w:rsidR="00983E86" w:rsidRPr="00983E86">
        <w:rPr>
          <w:rFonts w:cs="Arial"/>
          <w:i/>
          <w:shd w:val="pct70" w:color="FFFFFF" w:fill="auto"/>
          <w:lang w:val="fr-FR"/>
        </w:rPr>
        <w:t>s</w:t>
      </w:r>
      <w:r w:rsidRPr="00983E86">
        <w:rPr>
          <w:rFonts w:cs="Arial"/>
          <w:i/>
          <w:shd w:val="pct70" w:color="FFFFFF" w:fill="auto"/>
          <w:lang w:val="fr-FR"/>
        </w:rPr>
        <w:t xml:space="preserve"> dans des nouveaux marchés de niche avec de nouveaux produits et de nouveaux emballages.</w:t>
      </w:r>
      <w:r w:rsidR="00E36F2E" w:rsidRPr="007F1538">
        <w:rPr>
          <w:rFonts w:cs="Arial"/>
          <w:i/>
          <w:lang w:val="fr-FR"/>
        </w:rPr>
        <w:t xml:space="preserve"> </w:t>
      </w:r>
      <w:r w:rsidRPr="007F1538">
        <w:rPr>
          <w:rFonts w:cs="Arial"/>
          <w:i/>
          <w:lang w:val="fr-FR"/>
        </w:rPr>
        <w:t>De rapides changements de production sont réalisés et les produits doivent être livrés rapidement.</w:t>
      </w:r>
      <w:r w:rsidR="00E36F2E" w:rsidRPr="007F1538">
        <w:rPr>
          <w:rFonts w:cs="Arial"/>
          <w:i/>
          <w:lang w:val="fr-FR"/>
        </w:rPr>
        <w:t xml:space="preserve"> </w:t>
      </w:r>
      <w:r w:rsidRPr="007F1538">
        <w:rPr>
          <w:rFonts w:cs="Arial"/>
          <w:i/>
          <w:lang w:val="fr-FR"/>
        </w:rPr>
        <w:t>Cela entraîne également un changement dans la fonction des travailleurs dont on exige des compétences différentes et nouvelles.</w:t>
      </w:r>
    </w:p>
    <w:p w:rsidR="00E36F2E" w:rsidRPr="007F1538" w:rsidRDefault="00E36F2E" w:rsidP="00997CCD">
      <w:pPr>
        <w:pBdr>
          <w:top w:val="single" w:sz="4" w:space="2" w:color="C0C0C0"/>
          <w:left w:val="single" w:sz="4" w:space="2" w:color="C0C0C0"/>
          <w:bottom w:val="single" w:sz="4" w:space="2" w:color="C0C0C0"/>
          <w:right w:val="single" w:sz="4" w:space="2" w:color="C0C0C0"/>
        </w:pBdr>
        <w:shd w:val="pct70" w:color="FFFFFF" w:fill="C0C0C0"/>
        <w:rPr>
          <w:rFonts w:cs="Arial"/>
          <w:i/>
          <w:lang w:val="fr-FR"/>
        </w:rPr>
      </w:pPr>
    </w:p>
    <w:p w:rsidR="00E36F2E" w:rsidRPr="007F1538" w:rsidRDefault="00983E86" w:rsidP="00997CCD">
      <w:pPr>
        <w:pBdr>
          <w:top w:val="single" w:sz="4" w:space="2" w:color="C0C0C0"/>
          <w:left w:val="single" w:sz="4" w:space="2" w:color="C0C0C0"/>
          <w:bottom w:val="single" w:sz="4" w:space="2" w:color="C0C0C0"/>
          <w:right w:val="single" w:sz="4" w:space="2" w:color="C0C0C0"/>
        </w:pBdr>
        <w:shd w:val="pct70" w:color="FFFFFF" w:fill="C0C0C0"/>
        <w:rPr>
          <w:i/>
          <w:lang w:val="fr-FR"/>
        </w:rPr>
      </w:pPr>
      <w:r w:rsidRPr="00983E86">
        <w:rPr>
          <w:i/>
          <w:shd w:val="pct70" w:color="FFFFFF" w:fill="auto"/>
          <w:lang w:val="fr-FR"/>
        </w:rPr>
        <w:t>Pour être compétitives</w:t>
      </w:r>
      <w:r w:rsidR="00997CCD" w:rsidRPr="00983E86">
        <w:rPr>
          <w:i/>
          <w:shd w:val="pct70" w:color="FFFFFF" w:fill="auto"/>
          <w:lang w:val="fr-FR"/>
        </w:rPr>
        <w:t xml:space="preserve"> dans cet environnement, les entreprises de l’industrie alimentaire doivent maintenir le niveau du capital humain, car, malgré la forte automatisation pendant les dernières décennies, l’industrie alimentaire reste un secteur relativement très gourmand en main-d’œuvre.</w:t>
      </w:r>
      <w:r w:rsidR="00E36F2E" w:rsidRPr="007F1538">
        <w:rPr>
          <w:i/>
          <w:lang w:val="fr-FR"/>
        </w:rPr>
        <w:t xml:space="preserve"> </w:t>
      </w:r>
      <w:r w:rsidR="00997CCD" w:rsidRPr="007F1538">
        <w:rPr>
          <w:i/>
          <w:lang w:val="fr-FR"/>
        </w:rPr>
        <w:t xml:space="preserve">Le travail manuel et le savoir-faire humains restent un facteur essentiel dans le développement, la production et le marketing de </w:t>
      </w:r>
      <w:r w:rsidR="00976F26">
        <w:rPr>
          <w:i/>
          <w:lang w:val="fr-FR"/>
        </w:rPr>
        <w:t>denrées alimentaires</w:t>
      </w:r>
      <w:r w:rsidR="00997CCD" w:rsidRPr="007F1538">
        <w:rPr>
          <w:i/>
          <w:lang w:val="fr-FR"/>
        </w:rPr>
        <w:t>.</w:t>
      </w:r>
      <w:r w:rsidR="00E36F2E" w:rsidRPr="007F1538">
        <w:rPr>
          <w:i/>
          <w:lang w:val="fr-FR"/>
        </w:rPr>
        <w:t xml:space="preserve"> </w:t>
      </w:r>
      <w:r w:rsidR="00997CCD" w:rsidRPr="007F1538">
        <w:rPr>
          <w:i/>
          <w:lang w:val="fr-FR"/>
        </w:rPr>
        <w:t>Les améliorations techniques ne suffisent plus.</w:t>
      </w:r>
      <w:r w:rsidR="00E36F2E" w:rsidRPr="007F1538">
        <w:rPr>
          <w:i/>
          <w:lang w:val="fr-FR"/>
        </w:rPr>
        <w:t xml:space="preserve"> </w:t>
      </w:r>
      <w:r w:rsidR="00997CCD" w:rsidRPr="007F1538">
        <w:rPr>
          <w:i/>
          <w:lang w:val="fr-FR"/>
        </w:rPr>
        <w:t>Des améliorations organisationnelles sont également nécessaires. L’engagement, la formation et l’utilisation efficace de personnes compétentes sont un facteur de succès important.</w:t>
      </w:r>
    </w:p>
    <w:p w:rsidR="00E36F2E" w:rsidRPr="007F1538" w:rsidRDefault="00E36F2E" w:rsidP="00997CCD">
      <w:pPr>
        <w:pBdr>
          <w:top w:val="single" w:sz="4" w:space="2" w:color="C0C0C0"/>
          <w:left w:val="single" w:sz="4" w:space="2" w:color="C0C0C0"/>
          <w:bottom w:val="single" w:sz="4" w:space="2" w:color="C0C0C0"/>
          <w:right w:val="single" w:sz="4" w:space="2" w:color="C0C0C0"/>
        </w:pBdr>
        <w:shd w:val="pct70" w:color="FFFFFF" w:fill="C0C0C0"/>
        <w:rPr>
          <w:lang w:val="fr-FR"/>
        </w:rPr>
      </w:pPr>
    </w:p>
    <w:p w:rsidR="00E36F2E" w:rsidRPr="007F1538" w:rsidRDefault="00997CCD" w:rsidP="00997CCD">
      <w:pPr>
        <w:pBdr>
          <w:top w:val="single" w:sz="4" w:space="2" w:color="C0C0C0"/>
          <w:left w:val="single" w:sz="4" w:space="2" w:color="C0C0C0"/>
          <w:bottom w:val="single" w:sz="4" w:space="2" w:color="C0C0C0"/>
          <w:right w:val="single" w:sz="4" w:space="2" w:color="C0C0C0"/>
        </w:pBdr>
        <w:shd w:val="pct70" w:color="FFFFFF" w:fill="C0C0C0"/>
        <w:rPr>
          <w:rFonts w:cs="Arial"/>
          <w:lang w:val="fr-FR"/>
        </w:rPr>
      </w:pPr>
      <w:r w:rsidRPr="007F1538">
        <w:rPr>
          <w:lang w:val="fr-FR"/>
        </w:rPr>
        <w:t>Le secteur en est conscient, comme le prouve l’augmentation des efforts de formation durant la dernière décennie.</w:t>
      </w:r>
      <w:r w:rsidR="00E36F2E" w:rsidRPr="007F1538">
        <w:rPr>
          <w:lang w:val="fr-FR"/>
        </w:rPr>
        <w:t xml:space="preserve"> </w:t>
      </w:r>
      <w:r w:rsidRPr="007F1538">
        <w:rPr>
          <w:rFonts w:cs="Arial"/>
          <w:shd w:val="pct70" w:color="FFFFFF" w:fill="auto"/>
          <w:lang w:val="fr-FR"/>
        </w:rPr>
        <w:t>Le taux de participation aux formations a ainsi</w:t>
      </w:r>
      <w:r w:rsidR="00B67161">
        <w:rPr>
          <w:rFonts w:cs="Arial"/>
          <w:shd w:val="pct70" w:color="FFFFFF" w:fill="auto"/>
          <w:lang w:val="fr-FR"/>
        </w:rPr>
        <w:t xml:space="preserve"> </w:t>
      </w:r>
      <w:r w:rsidRPr="007F1538">
        <w:rPr>
          <w:rFonts w:cs="Arial"/>
          <w:shd w:val="pct70" w:color="FFFFFF" w:fill="auto"/>
          <w:lang w:val="fr-FR"/>
        </w:rPr>
        <w:t>évolué d’environ 30% à 40%.</w:t>
      </w:r>
      <w:r w:rsidR="00E36F2E" w:rsidRPr="007F1538">
        <w:rPr>
          <w:rFonts w:cs="Arial"/>
          <w:lang w:val="fr-FR"/>
        </w:rPr>
        <w:t xml:space="preserve"> </w:t>
      </w:r>
      <w:r w:rsidRPr="007F1538">
        <w:rPr>
          <w:rFonts w:cs="Arial"/>
          <w:lang w:val="fr-FR"/>
        </w:rPr>
        <w:t>La plupart des mesures récentes concluent il est vrai à un recul des efforts, recul qui s’explique par la crise économique</w:t>
      </w:r>
      <w:r w:rsidR="00E36F2E" w:rsidRPr="007F1538">
        <w:rPr>
          <w:rFonts w:cs="Arial"/>
          <w:lang w:val="fr-FR"/>
        </w:rPr>
        <w:t xml:space="preserve"> </w:t>
      </w:r>
    </w:p>
    <w:p w:rsidR="00E36F2E" w:rsidRPr="007F1538" w:rsidRDefault="00E36F2E" w:rsidP="00997CCD">
      <w:pPr>
        <w:pBdr>
          <w:top w:val="single" w:sz="4" w:space="2" w:color="C0C0C0"/>
          <w:left w:val="single" w:sz="4" w:space="2" w:color="C0C0C0"/>
          <w:bottom w:val="single" w:sz="4" w:space="2" w:color="C0C0C0"/>
          <w:right w:val="single" w:sz="4" w:space="2" w:color="C0C0C0"/>
        </w:pBdr>
        <w:shd w:val="pct70" w:color="FFFFFF" w:fill="C0C0C0"/>
        <w:rPr>
          <w:rFonts w:cs="Arial"/>
          <w:lang w:val="fr-FR"/>
        </w:rPr>
      </w:pPr>
    </w:p>
    <w:p w:rsidR="00E36F2E" w:rsidRPr="007F1538" w:rsidRDefault="00997CCD" w:rsidP="00997CCD">
      <w:pPr>
        <w:pBdr>
          <w:top w:val="single" w:sz="4" w:space="2" w:color="C0C0C0"/>
          <w:left w:val="single" w:sz="4" w:space="2" w:color="C0C0C0"/>
          <w:bottom w:val="single" w:sz="4" w:space="2" w:color="C0C0C0"/>
          <w:right w:val="single" w:sz="4" w:space="2" w:color="C0C0C0"/>
        </w:pBdr>
        <w:shd w:val="pct70" w:color="FFFFFF" w:fill="C0C0C0"/>
        <w:rPr>
          <w:lang w:val="fr-FR"/>
        </w:rPr>
      </w:pPr>
      <w:r w:rsidRPr="007F1538">
        <w:rPr>
          <w:rFonts w:cs="Arial"/>
          <w:shd w:val="pct70" w:color="FFFFFF" w:fill="auto"/>
          <w:lang w:val="fr-FR"/>
        </w:rPr>
        <w:t>Les partenaires sociaux du secteur alimentaire se sont en tout cas fixé comme objectif de faire suivre une formation à la moitié des travailleurs en 2010.</w:t>
      </w:r>
      <w:r w:rsidR="00E36F2E" w:rsidRPr="007F1538">
        <w:rPr>
          <w:lang w:val="fr-FR"/>
        </w:rPr>
        <w:t xml:space="preserve"> </w:t>
      </w:r>
      <w:r w:rsidRPr="007F1538">
        <w:rPr>
          <w:lang w:val="fr-FR"/>
        </w:rPr>
        <w:t>Ces dernières années, ils ont adressé un coup de semonce volontaire en définissant des objectifs précis pour l’initiative de formation sectorielle :</w:t>
      </w:r>
      <w:r w:rsidR="00E36F2E" w:rsidRPr="007F1538">
        <w:rPr>
          <w:lang w:val="fr-FR"/>
        </w:rPr>
        <w:t xml:space="preserve"> </w:t>
      </w:r>
      <w:r w:rsidRPr="007F1538">
        <w:rPr>
          <w:lang w:val="fr-FR"/>
        </w:rPr>
        <w:t>entre 2007 et 2010, il faut organiser 25% de formations des travailleurs en plus et 25% de formation en plus pour les apprentis, les demandeurs d’emploi et les intérimaires.</w:t>
      </w:r>
      <w:r w:rsidR="00E36F2E" w:rsidRPr="007F1538">
        <w:rPr>
          <w:lang w:val="fr-FR"/>
        </w:rPr>
        <w:t xml:space="preserve"> </w:t>
      </w:r>
      <w:r w:rsidRPr="007F1538">
        <w:rPr>
          <w:lang w:val="fr-FR"/>
        </w:rPr>
        <w:t>Les réserves du fonds pouvaient être engagées pour atteindre cet objectif.</w:t>
      </w:r>
      <w:r w:rsidR="00E36F2E" w:rsidRPr="007F1538">
        <w:rPr>
          <w:lang w:val="fr-FR"/>
        </w:rPr>
        <w:t xml:space="preserve"> </w:t>
      </w:r>
    </w:p>
    <w:p w:rsidR="000F0C98" w:rsidRPr="007F1538" w:rsidRDefault="000F0C98" w:rsidP="00997CCD">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0F0C98" w:rsidRPr="007F1538" w:rsidRDefault="000F0C98" w:rsidP="000F0C98">
      <w:pPr>
        <w:rPr>
          <w:rFonts w:cs="Arial"/>
          <w:lang w:val="fr-FR"/>
        </w:rPr>
      </w:pPr>
    </w:p>
    <w:p w:rsidR="00A963FC" w:rsidRPr="007F1538" w:rsidRDefault="00997CCD" w:rsidP="00BE0473">
      <w:pPr>
        <w:rPr>
          <w:szCs w:val="24"/>
          <w:lang w:val="fr-FR" w:eastAsia="nl-BE"/>
        </w:rPr>
      </w:pPr>
      <w:r w:rsidRPr="007F1538">
        <w:rPr>
          <w:szCs w:val="24"/>
          <w:lang w:val="fr-FR" w:eastAsia="nl-BE"/>
        </w:rPr>
        <w:lastRenderedPageBreak/>
        <w:t xml:space="preserve">Il ressort de l’analyse la plus récente des bilans sociaux réalisée par le Conseil </w:t>
      </w:r>
      <w:r w:rsidR="00976F26">
        <w:rPr>
          <w:szCs w:val="24"/>
          <w:lang w:val="fr-FR" w:eastAsia="nl-BE"/>
        </w:rPr>
        <w:t>C</w:t>
      </w:r>
      <w:r w:rsidRPr="007F1538">
        <w:rPr>
          <w:szCs w:val="24"/>
          <w:lang w:val="fr-FR" w:eastAsia="nl-BE"/>
        </w:rPr>
        <w:t>entral de l’Economie que 0,61% du temps de travail a été investi dans des formations formelles en 2008.</w:t>
      </w:r>
      <w:r w:rsidR="00B67161">
        <w:rPr>
          <w:szCs w:val="24"/>
          <w:lang w:val="fr-FR" w:eastAsia="nl-BE"/>
        </w:rPr>
        <w:t xml:space="preserve"> </w:t>
      </w:r>
      <w:r w:rsidRPr="007F1538">
        <w:rPr>
          <w:szCs w:val="24"/>
          <w:lang w:val="fr-FR" w:eastAsia="nl-BE"/>
        </w:rPr>
        <w:t>En termes financiers, il s’agit d’un investissement de 0,82% des coûts en personnel.</w:t>
      </w:r>
      <w:r w:rsidR="00BE0473" w:rsidRPr="007F1538">
        <w:rPr>
          <w:szCs w:val="24"/>
          <w:lang w:val="fr-FR" w:eastAsia="nl-BE"/>
        </w:rPr>
        <w:t xml:space="preserve"> </w:t>
      </w:r>
      <w:r w:rsidR="007F1538" w:rsidRPr="008066E5">
        <w:rPr>
          <w:szCs w:val="24"/>
          <w:lang w:val="fr-FR" w:eastAsia="nl-BE"/>
        </w:rPr>
        <w:t xml:space="preserve">L’investissement dans la formation des groupes à </w:t>
      </w:r>
      <w:r w:rsidR="00B67161">
        <w:rPr>
          <w:szCs w:val="24"/>
          <w:lang w:val="fr-FR" w:eastAsia="nl-BE"/>
        </w:rPr>
        <w:t>risque</w:t>
      </w:r>
      <w:r w:rsidR="007F1538" w:rsidRPr="008066E5">
        <w:rPr>
          <w:szCs w:val="24"/>
          <w:lang w:val="fr-FR" w:eastAsia="nl-BE"/>
        </w:rPr>
        <w:t xml:space="preserve"> est de minimum</w:t>
      </w:r>
      <w:r w:rsidR="007F1538" w:rsidRPr="008066E5">
        <w:rPr>
          <w:rStyle w:val="FootnoteReference"/>
          <w:lang w:val="fr-FR"/>
        </w:rPr>
        <w:footnoteReference w:id="1"/>
      </w:r>
      <w:r w:rsidR="007F1538" w:rsidRPr="008066E5">
        <w:rPr>
          <w:szCs w:val="24"/>
          <w:lang w:val="fr-FR" w:eastAsia="nl-BE"/>
        </w:rPr>
        <w:t xml:space="preserve"> 15%.</w:t>
      </w:r>
      <w:r w:rsidR="00254EB2" w:rsidRPr="007F1538">
        <w:rPr>
          <w:szCs w:val="24"/>
          <w:lang w:val="fr-FR" w:eastAsia="nl-BE"/>
        </w:rPr>
        <w:t xml:space="preserve"> </w:t>
      </w:r>
      <w:r w:rsidR="007F1538" w:rsidRPr="00983E86">
        <w:rPr>
          <w:szCs w:val="24"/>
          <w:lang w:val="fr-FR" w:eastAsia="nl-BE"/>
        </w:rPr>
        <w:t>Au total, 35,5% des travailleurs ont suivi une formation en 2008.</w:t>
      </w:r>
      <w:r w:rsidR="00A963FC" w:rsidRPr="007F1538">
        <w:rPr>
          <w:szCs w:val="24"/>
          <w:lang w:val="fr-FR" w:eastAsia="nl-BE"/>
        </w:rPr>
        <w:t xml:space="preserve"> </w:t>
      </w:r>
      <w:r w:rsidR="007F1538" w:rsidRPr="007F1538">
        <w:rPr>
          <w:szCs w:val="24"/>
          <w:lang w:val="fr-FR" w:eastAsia="nl-BE"/>
        </w:rPr>
        <w:t>En comparaison avec les années précédentes, ces chiffres démontrent un léger recul dans la tendance à la hausse que connaît le secteur depuis la fin des années nonante.</w:t>
      </w:r>
      <w:r w:rsidR="00A963FC" w:rsidRPr="007F1538">
        <w:rPr>
          <w:szCs w:val="24"/>
          <w:lang w:val="fr-FR" w:eastAsia="nl-BE"/>
        </w:rPr>
        <w:t xml:space="preserve"> </w:t>
      </w:r>
      <w:r w:rsidR="007F1538" w:rsidRPr="007F1538">
        <w:rPr>
          <w:szCs w:val="24"/>
          <w:lang w:val="fr-FR" w:eastAsia="nl-BE"/>
        </w:rPr>
        <w:t>La crise économique qui a éclaté au début de l’année 2008 n’y est certainement pas étrangère.</w:t>
      </w:r>
      <w:r w:rsidR="00A963FC" w:rsidRPr="007F1538">
        <w:rPr>
          <w:szCs w:val="24"/>
          <w:lang w:val="fr-FR" w:eastAsia="nl-BE"/>
        </w:rPr>
        <w:t xml:space="preserve"> </w:t>
      </w:r>
      <w:r w:rsidR="007F1538" w:rsidRPr="007F1538">
        <w:rPr>
          <w:szCs w:val="24"/>
          <w:lang w:val="fr-FR" w:eastAsia="nl-BE"/>
        </w:rPr>
        <w:t>En comparaison avec le reste de l’industrie de transformation, l’industrie alimentaire a été encore relativement épargnée, l’emploi étant resté stable.</w:t>
      </w:r>
      <w:r w:rsidR="00A963FC" w:rsidRPr="007F1538">
        <w:rPr>
          <w:szCs w:val="24"/>
          <w:lang w:val="fr-FR" w:eastAsia="nl-BE"/>
        </w:rPr>
        <w:t xml:space="preserve"> </w:t>
      </w:r>
      <w:r w:rsidR="007F1538" w:rsidRPr="007F1538">
        <w:rPr>
          <w:szCs w:val="24"/>
          <w:lang w:val="fr-FR" w:eastAsia="nl-BE"/>
        </w:rPr>
        <w:t>La crise se fait toutefois sentir au sein des entreprises.</w:t>
      </w:r>
    </w:p>
    <w:p w:rsidR="00A963FC" w:rsidRPr="007F1538" w:rsidRDefault="00A963FC" w:rsidP="00BE0473">
      <w:pPr>
        <w:rPr>
          <w:szCs w:val="24"/>
          <w:lang w:val="fr-FR" w:eastAsia="nl-BE"/>
        </w:rPr>
      </w:pPr>
    </w:p>
    <w:p w:rsidR="00A21ED1" w:rsidRPr="007F1538" w:rsidRDefault="007F1538" w:rsidP="00BE0473">
      <w:pPr>
        <w:rPr>
          <w:szCs w:val="24"/>
          <w:lang w:val="fr-FR" w:eastAsia="nl-BE"/>
        </w:rPr>
      </w:pPr>
      <w:r w:rsidRPr="007F1538">
        <w:rPr>
          <w:szCs w:val="24"/>
          <w:lang w:val="fr-FR" w:eastAsia="nl-BE"/>
        </w:rPr>
        <w:t>Un élément neuf dans le bilan social de 2008 est l’enregistrement de l’apprentissage informel.</w:t>
      </w:r>
      <w:r w:rsidR="00A963FC" w:rsidRPr="007F1538">
        <w:rPr>
          <w:szCs w:val="24"/>
          <w:lang w:val="fr-FR" w:eastAsia="nl-BE"/>
        </w:rPr>
        <w:t xml:space="preserve"> </w:t>
      </w:r>
      <w:r w:rsidRPr="007F1538">
        <w:rPr>
          <w:szCs w:val="24"/>
          <w:lang w:val="fr-FR" w:eastAsia="nl-BE"/>
        </w:rPr>
        <w:t>Etant donné qu’il s’agit d’un premier enregistrement, la fiabilité et la précision de ces résultats doivent encore être considérées avec la plus grande prudence, mais les chiffres suggèrent que les efforts sont substantiels.</w:t>
      </w:r>
    </w:p>
    <w:p w:rsidR="00A21ED1" w:rsidRPr="007F1538" w:rsidRDefault="00A21ED1" w:rsidP="00BE0473">
      <w:pPr>
        <w:rPr>
          <w:szCs w:val="24"/>
          <w:lang w:val="fr-FR" w:eastAsia="nl-BE"/>
        </w:rPr>
      </w:pPr>
    </w:p>
    <w:p w:rsidR="00A963FC" w:rsidRPr="007F1538" w:rsidRDefault="007F1538" w:rsidP="00BE0473">
      <w:pPr>
        <w:rPr>
          <w:szCs w:val="24"/>
          <w:lang w:val="fr-FR" w:eastAsia="nl-BE"/>
        </w:rPr>
      </w:pPr>
      <w:r w:rsidRPr="007F1538">
        <w:rPr>
          <w:szCs w:val="24"/>
          <w:lang w:val="fr-FR" w:eastAsia="nl-BE"/>
        </w:rPr>
        <w:t xml:space="preserve">Pour ce qui concerne le pourcentage d’heures de formation en comparaison avec les heures de travail prestées et le pourcentage des coûts de formation en comparaison avec les coûts totaux en personnel, nous les ajoutons aux chiffres relatifs aux formations formelles afin de pouvoir </w:t>
      </w:r>
      <w:r w:rsidR="00A867CB">
        <w:rPr>
          <w:szCs w:val="24"/>
          <w:lang w:val="fr-FR" w:eastAsia="nl-BE"/>
        </w:rPr>
        <w:t>disposer</w:t>
      </w:r>
      <w:r w:rsidRPr="007F1538">
        <w:rPr>
          <w:szCs w:val="24"/>
          <w:lang w:val="fr-FR" w:eastAsia="nl-BE"/>
        </w:rPr>
        <w:t xml:space="preserve"> </w:t>
      </w:r>
      <w:r w:rsidR="00A867CB">
        <w:rPr>
          <w:szCs w:val="24"/>
          <w:lang w:val="fr-FR" w:eastAsia="nl-BE"/>
        </w:rPr>
        <w:t>d’</w:t>
      </w:r>
      <w:r w:rsidRPr="007F1538">
        <w:rPr>
          <w:szCs w:val="24"/>
          <w:lang w:val="fr-FR" w:eastAsia="nl-BE"/>
        </w:rPr>
        <w:t>une vue d’ensemble des efforts consentis en 2008.</w:t>
      </w:r>
      <w:r w:rsidR="006D4116" w:rsidRPr="007F1538">
        <w:rPr>
          <w:szCs w:val="24"/>
          <w:lang w:val="fr-FR" w:eastAsia="nl-BE"/>
        </w:rPr>
        <w:t xml:space="preserve"> </w:t>
      </w:r>
      <w:r w:rsidRPr="007F1538">
        <w:rPr>
          <w:szCs w:val="24"/>
          <w:lang w:val="fr-FR" w:eastAsia="nl-BE"/>
        </w:rPr>
        <w:t>Nous ne le faisons pas pour le pourcentage de travailleurs qui sont impliqués étant donné que nous n’avons actuellement aucune vue sur le chevauchement des travailleurs qui suivent une formation formelle et une formation informelle.</w:t>
      </w:r>
    </w:p>
    <w:p w:rsidR="00BE0473" w:rsidRPr="007F1538" w:rsidRDefault="00BE0473" w:rsidP="007F53D5">
      <w:pPr>
        <w:rPr>
          <w:szCs w:val="24"/>
          <w:lang w:val="fr-FR" w:eastAsia="nl-BE"/>
        </w:rPr>
      </w:pPr>
    </w:p>
    <w:p w:rsidR="006F2B79" w:rsidRPr="007F1538" w:rsidRDefault="007F1538" w:rsidP="00642FFB">
      <w:pPr>
        <w:rPr>
          <w:szCs w:val="24"/>
          <w:lang w:val="fr-FR" w:eastAsia="nl-BE"/>
        </w:rPr>
      </w:pPr>
      <w:r w:rsidRPr="007F1538">
        <w:rPr>
          <w:szCs w:val="24"/>
          <w:lang w:val="fr-FR" w:eastAsia="nl-BE"/>
        </w:rPr>
        <w:t>Tableau 1 : Efforts en matière de formation dans l’industrie alimentaire</w:t>
      </w:r>
    </w:p>
    <w:p w:rsidR="00E511D2" w:rsidRPr="007F1538" w:rsidRDefault="00E511D2" w:rsidP="00642FFB">
      <w:pPr>
        <w:rPr>
          <w:szCs w:val="24"/>
          <w:lang w:val="fr-FR" w:eastAsia="nl-BE"/>
        </w:rPr>
      </w:pPr>
    </w:p>
    <w:tbl>
      <w:tblPr>
        <w:tblW w:w="9194" w:type="dxa"/>
        <w:tblInd w:w="94" w:type="dxa"/>
        <w:tblLook w:val="0000"/>
      </w:tblPr>
      <w:tblGrid>
        <w:gridCol w:w="1367"/>
        <w:gridCol w:w="1814"/>
        <w:gridCol w:w="2240"/>
        <w:gridCol w:w="2080"/>
        <w:gridCol w:w="1693"/>
      </w:tblGrid>
      <w:tr w:rsidR="00AE6EEB" w:rsidRPr="007B0288" w:rsidTr="007F1538">
        <w:tc>
          <w:tcPr>
            <w:tcW w:w="950" w:type="dxa"/>
            <w:tcBorders>
              <w:top w:val="single" w:sz="4" w:space="0" w:color="auto"/>
              <w:left w:val="single" w:sz="4" w:space="0" w:color="auto"/>
              <w:bottom w:val="single" w:sz="4" w:space="0" w:color="auto"/>
              <w:right w:val="nil"/>
            </w:tcBorders>
            <w:shd w:val="clear" w:color="auto" w:fill="auto"/>
            <w:noWrap/>
          </w:tcPr>
          <w:p w:rsidR="00AE6EEB" w:rsidRPr="007F1538" w:rsidRDefault="007F1538" w:rsidP="00690B4E">
            <w:pPr>
              <w:rPr>
                <w:rFonts w:cs="Arial"/>
                <w:lang w:val="fr-FR" w:eastAsia="en-US"/>
              </w:rPr>
            </w:pPr>
            <w:r w:rsidRPr="007F1538">
              <w:rPr>
                <w:rFonts w:cs="Arial"/>
                <w:lang w:val="fr-FR" w:eastAsia="en-US"/>
              </w:rPr>
              <w:t>Année</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AE6EEB" w:rsidRPr="007F1538" w:rsidRDefault="007F1538" w:rsidP="00690B4E">
            <w:pPr>
              <w:rPr>
                <w:rFonts w:cs="Arial"/>
                <w:lang w:val="fr-FR" w:eastAsia="en-US"/>
              </w:rPr>
            </w:pPr>
            <w:r w:rsidRPr="007F1538">
              <w:rPr>
                <w:rFonts w:cs="Arial"/>
                <w:lang w:val="fr-FR" w:eastAsia="en-US"/>
              </w:rPr>
              <w:t>Pourcentage de travailleurs qui ont suivi une formation</w:t>
            </w:r>
          </w:p>
        </w:tc>
        <w:tc>
          <w:tcPr>
            <w:tcW w:w="2240" w:type="dxa"/>
            <w:tcBorders>
              <w:top w:val="single" w:sz="4" w:space="0" w:color="auto"/>
              <w:left w:val="nil"/>
              <w:bottom w:val="single" w:sz="4" w:space="0" w:color="auto"/>
              <w:right w:val="nil"/>
            </w:tcBorders>
            <w:shd w:val="clear" w:color="auto" w:fill="auto"/>
            <w:noWrap/>
          </w:tcPr>
          <w:p w:rsidR="00AE6EEB" w:rsidRPr="007F1538" w:rsidRDefault="007F1538" w:rsidP="00690B4E">
            <w:pPr>
              <w:rPr>
                <w:rFonts w:cs="Arial"/>
                <w:lang w:val="fr-FR" w:eastAsia="en-US"/>
              </w:rPr>
            </w:pPr>
            <w:r w:rsidRPr="007F1538">
              <w:rPr>
                <w:rFonts w:cs="Arial"/>
                <w:lang w:val="fr-FR" w:eastAsia="en-US"/>
              </w:rPr>
              <w:t>Pourcentage des heures de formation par rapport aux heures de travail prestées</w:t>
            </w:r>
          </w:p>
        </w:tc>
        <w:tc>
          <w:tcPr>
            <w:tcW w:w="2080" w:type="dxa"/>
            <w:tcBorders>
              <w:top w:val="single" w:sz="4" w:space="0" w:color="auto"/>
              <w:left w:val="single" w:sz="4" w:space="0" w:color="auto"/>
              <w:bottom w:val="single" w:sz="4" w:space="0" w:color="auto"/>
              <w:right w:val="single" w:sz="4" w:space="0" w:color="auto"/>
            </w:tcBorders>
            <w:shd w:val="clear" w:color="auto" w:fill="auto"/>
            <w:noWrap/>
          </w:tcPr>
          <w:p w:rsidR="00AE6EEB" w:rsidRPr="007F1538" w:rsidRDefault="007F1538" w:rsidP="00690B4E">
            <w:pPr>
              <w:rPr>
                <w:rFonts w:cs="Arial"/>
                <w:lang w:val="fr-FR" w:eastAsia="en-US"/>
              </w:rPr>
            </w:pPr>
            <w:r w:rsidRPr="008066E5">
              <w:rPr>
                <w:rFonts w:cs="Arial"/>
                <w:lang w:val="fr-FR" w:eastAsia="en-US"/>
              </w:rPr>
              <w:t xml:space="preserve">Pourcentage des </w:t>
            </w:r>
            <w:r w:rsidR="008066E5" w:rsidRPr="008066E5">
              <w:rPr>
                <w:rFonts w:cs="Arial"/>
                <w:lang w:val="fr-FR" w:eastAsia="en-US"/>
              </w:rPr>
              <w:t>coûts</w:t>
            </w:r>
            <w:r w:rsidRPr="008066E5">
              <w:rPr>
                <w:rFonts w:cs="Arial"/>
                <w:lang w:val="fr-FR" w:eastAsia="en-US"/>
              </w:rPr>
              <w:t xml:space="preserve"> de formation par rapport aux coûts totaux en personnel</w:t>
            </w:r>
          </w:p>
        </w:tc>
        <w:tc>
          <w:tcPr>
            <w:tcW w:w="2110" w:type="dxa"/>
            <w:tcBorders>
              <w:top w:val="single" w:sz="4" w:space="0" w:color="auto"/>
              <w:left w:val="single" w:sz="4" w:space="0" w:color="auto"/>
              <w:bottom w:val="single" w:sz="4" w:space="0" w:color="auto"/>
              <w:right w:val="single" w:sz="4" w:space="0" w:color="auto"/>
            </w:tcBorders>
          </w:tcPr>
          <w:p w:rsidR="00AE6EEB" w:rsidRPr="007F1538" w:rsidRDefault="007F1538" w:rsidP="00690B4E">
            <w:pPr>
              <w:rPr>
                <w:rFonts w:cs="Arial"/>
                <w:lang w:val="fr-FR" w:eastAsia="en-US"/>
              </w:rPr>
            </w:pPr>
            <w:r w:rsidRPr="007F1538">
              <w:rPr>
                <w:rFonts w:cs="Arial"/>
                <w:lang w:val="fr-FR" w:eastAsia="en-US"/>
              </w:rPr>
              <w:t xml:space="preserve">Pourcentage des frais de formation des groupes à </w:t>
            </w:r>
            <w:r w:rsidR="00B67161">
              <w:rPr>
                <w:rFonts w:cs="Arial"/>
                <w:lang w:val="fr-FR" w:eastAsia="en-US"/>
              </w:rPr>
              <w:t>risque</w:t>
            </w:r>
            <w:r w:rsidRPr="007F1538">
              <w:rPr>
                <w:rFonts w:cs="Arial"/>
                <w:lang w:val="fr-FR" w:eastAsia="en-US"/>
              </w:rPr>
              <w:t xml:space="preserve"> par rapport aux coûts totaux en personnel</w:t>
            </w:r>
            <w:r w:rsidRPr="007F1538">
              <w:rPr>
                <w:rStyle w:val="FootnoteReference"/>
                <w:rFonts w:cs="Arial"/>
                <w:lang w:val="fr-FR"/>
              </w:rPr>
              <w:footnoteReference w:id="2"/>
            </w:r>
          </w:p>
        </w:tc>
      </w:tr>
      <w:tr w:rsidR="00AE6EEB" w:rsidRPr="007F1538" w:rsidTr="007F1538">
        <w:tc>
          <w:tcPr>
            <w:tcW w:w="950" w:type="dxa"/>
            <w:tcBorders>
              <w:top w:val="single" w:sz="4" w:space="0" w:color="auto"/>
              <w:left w:val="single" w:sz="4" w:space="0" w:color="auto"/>
              <w:bottom w:val="nil"/>
              <w:right w:val="single" w:sz="4" w:space="0" w:color="auto"/>
            </w:tcBorders>
            <w:shd w:val="clear" w:color="auto" w:fill="auto"/>
            <w:noWrap/>
            <w:vAlign w:val="bottom"/>
          </w:tcPr>
          <w:p w:rsidR="00B3400B" w:rsidRPr="007F1538" w:rsidRDefault="007F1538" w:rsidP="000B3E97">
            <w:pPr>
              <w:jc w:val="center"/>
              <w:rPr>
                <w:rFonts w:cs="Arial"/>
                <w:i/>
                <w:lang w:val="fr-FR" w:eastAsia="en-US"/>
              </w:rPr>
            </w:pPr>
            <w:r w:rsidRPr="007F1538">
              <w:rPr>
                <w:rFonts w:cs="Arial"/>
                <w:i/>
                <w:lang w:val="fr-FR" w:eastAsia="en-US"/>
              </w:rPr>
              <w:t>Formelles</w:t>
            </w:r>
          </w:p>
          <w:p w:rsidR="00AE6EEB" w:rsidRPr="007F1538" w:rsidRDefault="00AE6EEB" w:rsidP="000B3E97">
            <w:pPr>
              <w:jc w:val="center"/>
              <w:rPr>
                <w:rFonts w:cs="Arial"/>
                <w:lang w:val="fr-FR" w:eastAsia="en-US"/>
              </w:rPr>
            </w:pPr>
            <w:r w:rsidRPr="007F1538">
              <w:rPr>
                <w:rFonts w:cs="Arial"/>
                <w:lang w:val="fr-FR" w:eastAsia="en-US"/>
              </w:rPr>
              <w:t>1996</w:t>
            </w:r>
          </w:p>
        </w:tc>
        <w:tc>
          <w:tcPr>
            <w:tcW w:w="1814" w:type="dxa"/>
            <w:tcBorders>
              <w:top w:val="single" w:sz="4" w:space="0" w:color="auto"/>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25,5%</w:t>
            </w:r>
          </w:p>
        </w:tc>
        <w:tc>
          <w:tcPr>
            <w:tcW w:w="2240" w:type="dxa"/>
            <w:tcBorders>
              <w:top w:val="single" w:sz="4" w:space="0" w:color="auto"/>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0,40%</w:t>
            </w:r>
          </w:p>
        </w:tc>
        <w:tc>
          <w:tcPr>
            <w:tcW w:w="2080" w:type="dxa"/>
            <w:tcBorders>
              <w:top w:val="single" w:sz="4" w:space="0" w:color="auto"/>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0,71%</w:t>
            </w:r>
          </w:p>
        </w:tc>
        <w:tc>
          <w:tcPr>
            <w:tcW w:w="2110" w:type="dxa"/>
            <w:tcBorders>
              <w:top w:val="single" w:sz="4" w:space="0" w:color="auto"/>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1997</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23,3%</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0,35%</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0,58%</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1998</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25,0%</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0,37%</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0,60%</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1999</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31,2%</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0,51%</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0,79%</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2000</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33,5%</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0,63%</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0,87%</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2001</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35,3%</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0,64%</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0,90%</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2002</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37,3%</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0,55%</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0,85%</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2003</w:t>
            </w:r>
          </w:p>
        </w:tc>
        <w:tc>
          <w:tcPr>
            <w:tcW w:w="1814"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38,7%</w:t>
            </w:r>
          </w:p>
        </w:tc>
        <w:tc>
          <w:tcPr>
            <w:tcW w:w="224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0,59%</w:t>
            </w:r>
          </w:p>
        </w:tc>
        <w:tc>
          <w:tcPr>
            <w:tcW w:w="2080" w:type="dxa"/>
            <w:tcBorders>
              <w:top w:val="nil"/>
              <w:left w:val="single" w:sz="4" w:space="0" w:color="auto"/>
              <w:bottom w:val="nil"/>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0,86%</w:t>
            </w:r>
          </w:p>
        </w:tc>
        <w:tc>
          <w:tcPr>
            <w:tcW w:w="2110" w:type="dxa"/>
            <w:tcBorders>
              <w:top w:val="nil"/>
              <w:left w:val="single" w:sz="4" w:space="0" w:color="auto"/>
              <w:bottom w:val="nil"/>
              <w:right w:val="single" w:sz="4" w:space="0" w:color="auto"/>
            </w:tcBorders>
          </w:tcPr>
          <w:p w:rsidR="00AE6EEB" w:rsidRPr="007F1538" w:rsidRDefault="00AE6EEB" w:rsidP="000B3E97">
            <w:pPr>
              <w:jc w:val="center"/>
              <w:rPr>
                <w:rFonts w:cs="Arial"/>
                <w:lang w:val="fr-FR" w:eastAsia="en-US"/>
              </w:rPr>
            </w:pPr>
          </w:p>
        </w:tc>
      </w:tr>
      <w:tr w:rsidR="00AE6EEB" w:rsidRPr="007F1538" w:rsidTr="007F1538">
        <w:tc>
          <w:tcPr>
            <w:tcW w:w="95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2004</w:t>
            </w:r>
          </w:p>
        </w:tc>
        <w:tc>
          <w:tcPr>
            <w:tcW w:w="1814"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39,2%</w:t>
            </w:r>
          </w:p>
        </w:tc>
        <w:tc>
          <w:tcPr>
            <w:tcW w:w="224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0,69%</w:t>
            </w:r>
          </w:p>
        </w:tc>
        <w:tc>
          <w:tcPr>
            <w:tcW w:w="208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0,95%</w:t>
            </w:r>
          </w:p>
        </w:tc>
        <w:tc>
          <w:tcPr>
            <w:tcW w:w="2110" w:type="dxa"/>
            <w:tcBorders>
              <w:top w:val="nil"/>
              <w:left w:val="single" w:sz="4" w:space="0" w:color="auto"/>
              <w:right w:val="single" w:sz="4" w:space="0" w:color="auto"/>
            </w:tcBorders>
          </w:tcPr>
          <w:p w:rsidR="00AE6EEB" w:rsidRPr="007F1538" w:rsidRDefault="00AE6EEB" w:rsidP="000B3E97">
            <w:pPr>
              <w:jc w:val="center"/>
              <w:rPr>
                <w:rFonts w:cs="Arial"/>
                <w:lang w:val="fr-FR" w:eastAsia="en-US"/>
              </w:rPr>
            </w:pPr>
            <w:r w:rsidRPr="007F1538">
              <w:rPr>
                <w:rFonts w:cs="Arial"/>
                <w:lang w:val="fr-FR" w:eastAsia="en-US"/>
              </w:rPr>
              <w:t>0,17%</w:t>
            </w:r>
          </w:p>
        </w:tc>
      </w:tr>
      <w:tr w:rsidR="00AE6EEB" w:rsidRPr="007F1538" w:rsidTr="007F1538">
        <w:tc>
          <w:tcPr>
            <w:tcW w:w="95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2005</w:t>
            </w:r>
          </w:p>
        </w:tc>
        <w:tc>
          <w:tcPr>
            <w:tcW w:w="1814"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35,6%</w:t>
            </w:r>
          </w:p>
        </w:tc>
        <w:tc>
          <w:tcPr>
            <w:tcW w:w="224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0,64%</w:t>
            </w:r>
          </w:p>
        </w:tc>
        <w:tc>
          <w:tcPr>
            <w:tcW w:w="208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0,76%</w:t>
            </w:r>
          </w:p>
        </w:tc>
        <w:tc>
          <w:tcPr>
            <w:tcW w:w="2110" w:type="dxa"/>
            <w:tcBorders>
              <w:top w:val="nil"/>
              <w:left w:val="single" w:sz="4" w:space="0" w:color="auto"/>
              <w:right w:val="single" w:sz="4" w:space="0" w:color="auto"/>
            </w:tcBorders>
          </w:tcPr>
          <w:p w:rsidR="00AE6EEB" w:rsidRPr="007F1538" w:rsidRDefault="00AE6EEB" w:rsidP="000B3E97">
            <w:pPr>
              <w:jc w:val="center"/>
              <w:rPr>
                <w:rFonts w:cs="Arial"/>
                <w:lang w:val="fr-FR" w:eastAsia="en-US"/>
              </w:rPr>
            </w:pPr>
            <w:r w:rsidRPr="007F1538">
              <w:rPr>
                <w:rFonts w:cs="Arial"/>
                <w:lang w:val="fr-FR" w:eastAsia="en-US"/>
              </w:rPr>
              <w:t>0,18%</w:t>
            </w:r>
          </w:p>
        </w:tc>
      </w:tr>
      <w:tr w:rsidR="00AE6EEB" w:rsidRPr="007F1538" w:rsidTr="007F1538">
        <w:tc>
          <w:tcPr>
            <w:tcW w:w="95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2006</w:t>
            </w:r>
          </w:p>
        </w:tc>
        <w:tc>
          <w:tcPr>
            <w:tcW w:w="1814" w:type="dxa"/>
            <w:tcBorders>
              <w:top w:val="nil"/>
              <w:left w:val="single" w:sz="4" w:space="0" w:color="auto"/>
              <w:right w:val="single" w:sz="4" w:space="0" w:color="auto"/>
            </w:tcBorders>
            <w:shd w:val="clear" w:color="auto" w:fill="auto"/>
            <w:noWrap/>
            <w:vAlign w:val="bottom"/>
          </w:tcPr>
          <w:p w:rsidR="008751E4" w:rsidRPr="007F1538" w:rsidRDefault="00AE6EEB" w:rsidP="008751E4">
            <w:pPr>
              <w:jc w:val="center"/>
              <w:rPr>
                <w:rFonts w:cs="Arial"/>
                <w:lang w:val="fr-FR" w:eastAsia="en-US"/>
              </w:rPr>
            </w:pPr>
            <w:r w:rsidRPr="007F1538">
              <w:rPr>
                <w:rFonts w:cs="Arial"/>
                <w:lang w:val="fr-FR" w:eastAsia="en-US"/>
              </w:rPr>
              <w:t>39,5%</w:t>
            </w:r>
          </w:p>
        </w:tc>
        <w:tc>
          <w:tcPr>
            <w:tcW w:w="224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0,65%</w:t>
            </w:r>
          </w:p>
        </w:tc>
        <w:tc>
          <w:tcPr>
            <w:tcW w:w="208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0,83%</w:t>
            </w:r>
          </w:p>
        </w:tc>
        <w:tc>
          <w:tcPr>
            <w:tcW w:w="2110" w:type="dxa"/>
            <w:tcBorders>
              <w:top w:val="nil"/>
              <w:left w:val="single" w:sz="4" w:space="0" w:color="auto"/>
              <w:right w:val="single" w:sz="4" w:space="0" w:color="auto"/>
            </w:tcBorders>
          </w:tcPr>
          <w:p w:rsidR="00AE6EEB" w:rsidRPr="007F1538" w:rsidRDefault="00AE6EEB" w:rsidP="000B3E97">
            <w:pPr>
              <w:jc w:val="center"/>
              <w:rPr>
                <w:rFonts w:cs="Arial"/>
                <w:lang w:val="fr-FR" w:eastAsia="en-US"/>
              </w:rPr>
            </w:pPr>
            <w:r w:rsidRPr="007F1538">
              <w:rPr>
                <w:rFonts w:cs="Arial"/>
                <w:lang w:val="fr-FR" w:eastAsia="en-US"/>
              </w:rPr>
              <w:t>0,16%</w:t>
            </w:r>
          </w:p>
        </w:tc>
      </w:tr>
      <w:tr w:rsidR="00AE6EEB" w:rsidRPr="007F1538" w:rsidTr="007F1538">
        <w:tc>
          <w:tcPr>
            <w:tcW w:w="950" w:type="dxa"/>
            <w:tcBorders>
              <w:top w:val="nil"/>
              <w:left w:val="single" w:sz="4" w:space="0" w:color="auto"/>
              <w:right w:val="single" w:sz="4" w:space="0" w:color="auto"/>
            </w:tcBorders>
            <w:shd w:val="clear" w:color="auto" w:fill="auto"/>
            <w:noWrap/>
            <w:vAlign w:val="bottom"/>
          </w:tcPr>
          <w:p w:rsidR="00AE6EEB" w:rsidRPr="007F1538" w:rsidRDefault="00AE6EEB" w:rsidP="000B3E97">
            <w:pPr>
              <w:jc w:val="center"/>
              <w:rPr>
                <w:rFonts w:cs="Arial"/>
                <w:lang w:val="fr-FR" w:eastAsia="en-US"/>
              </w:rPr>
            </w:pPr>
            <w:r w:rsidRPr="007F1538">
              <w:rPr>
                <w:rFonts w:cs="Arial"/>
                <w:lang w:val="fr-FR" w:eastAsia="en-US"/>
              </w:rPr>
              <w:t>2007</w:t>
            </w:r>
          </w:p>
          <w:p w:rsidR="008751E4" w:rsidRPr="007F1538" w:rsidRDefault="007D4F8B" w:rsidP="008751E4">
            <w:pPr>
              <w:jc w:val="center"/>
              <w:rPr>
                <w:rFonts w:cs="Arial"/>
                <w:lang w:val="fr-FR" w:eastAsia="en-US"/>
              </w:rPr>
            </w:pPr>
            <w:r w:rsidRPr="007F1538">
              <w:rPr>
                <w:rFonts w:cs="Arial"/>
                <w:lang w:val="fr-FR" w:eastAsia="en-US"/>
              </w:rPr>
              <w:t>2008</w:t>
            </w:r>
          </w:p>
        </w:tc>
        <w:tc>
          <w:tcPr>
            <w:tcW w:w="1814" w:type="dxa"/>
            <w:tcBorders>
              <w:top w:val="nil"/>
              <w:left w:val="single" w:sz="4" w:space="0" w:color="auto"/>
              <w:right w:val="single" w:sz="4" w:space="0" w:color="auto"/>
            </w:tcBorders>
            <w:shd w:val="clear" w:color="auto" w:fill="auto"/>
            <w:noWrap/>
            <w:vAlign w:val="bottom"/>
          </w:tcPr>
          <w:p w:rsidR="00AE6EEB" w:rsidRPr="007F1538" w:rsidRDefault="008B0311" w:rsidP="000B3E97">
            <w:pPr>
              <w:jc w:val="center"/>
              <w:rPr>
                <w:rFonts w:cs="Arial"/>
                <w:lang w:val="fr-FR" w:eastAsia="en-US"/>
              </w:rPr>
            </w:pPr>
            <w:r w:rsidRPr="007F1538">
              <w:rPr>
                <w:rFonts w:cs="Arial"/>
                <w:lang w:val="fr-FR" w:eastAsia="en-US"/>
              </w:rPr>
              <w:t>39,7%</w:t>
            </w:r>
          </w:p>
          <w:p w:rsidR="00B3400B" w:rsidRPr="007F1538" w:rsidRDefault="00C51586" w:rsidP="00B3400B">
            <w:pPr>
              <w:jc w:val="center"/>
              <w:rPr>
                <w:rFonts w:cs="Arial"/>
                <w:lang w:val="fr-FR" w:eastAsia="en-US"/>
              </w:rPr>
            </w:pPr>
            <w:r w:rsidRPr="007F1538">
              <w:rPr>
                <w:rFonts w:cs="Arial"/>
                <w:lang w:val="fr-FR" w:eastAsia="en-US"/>
              </w:rPr>
              <w:t>35,5%</w:t>
            </w:r>
          </w:p>
        </w:tc>
        <w:tc>
          <w:tcPr>
            <w:tcW w:w="2240" w:type="dxa"/>
            <w:tcBorders>
              <w:top w:val="nil"/>
              <w:left w:val="single" w:sz="4" w:space="0" w:color="auto"/>
              <w:right w:val="single" w:sz="4" w:space="0" w:color="auto"/>
            </w:tcBorders>
            <w:shd w:val="clear" w:color="auto" w:fill="auto"/>
            <w:noWrap/>
            <w:vAlign w:val="bottom"/>
          </w:tcPr>
          <w:p w:rsidR="00C51586" w:rsidRPr="007F1538" w:rsidRDefault="008B0311" w:rsidP="00C51586">
            <w:pPr>
              <w:jc w:val="center"/>
              <w:rPr>
                <w:rFonts w:cs="Arial"/>
                <w:lang w:val="fr-FR" w:eastAsia="en-US"/>
              </w:rPr>
            </w:pPr>
            <w:r w:rsidRPr="007F1538">
              <w:rPr>
                <w:rFonts w:cs="Arial"/>
                <w:lang w:val="fr-FR" w:eastAsia="en-US"/>
              </w:rPr>
              <w:t>0,66%</w:t>
            </w:r>
          </w:p>
          <w:p w:rsidR="007D4F8B" w:rsidRPr="007F1538" w:rsidRDefault="00C51586" w:rsidP="000B3E97">
            <w:pPr>
              <w:jc w:val="center"/>
              <w:rPr>
                <w:rFonts w:cs="Arial"/>
                <w:lang w:val="fr-FR" w:eastAsia="en-US"/>
              </w:rPr>
            </w:pPr>
            <w:r w:rsidRPr="007F1538">
              <w:rPr>
                <w:rFonts w:cs="Arial"/>
                <w:lang w:val="fr-FR" w:eastAsia="en-US"/>
              </w:rPr>
              <w:t>0,61%</w:t>
            </w:r>
          </w:p>
        </w:tc>
        <w:tc>
          <w:tcPr>
            <w:tcW w:w="2080" w:type="dxa"/>
            <w:tcBorders>
              <w:top w:val="nil"/>
              <w:left w:val="single" w:sz="4" w:space="0" w:color="auto"/>
              <w:right w:val="single" w:sz="4" w:space="0" w:color="auto"/>
            </w:tcBorders>
            <w:shd w:val="clear" w:color="auto" w:fill="auto"/>
            <w:noWrap/>
            <w:vAlign w:val="bottom"/>
          </w:tcPr>
          <w:p w:rsidR="00AE6EEB" w:rsidRPr="007F1538" w:rsidRDefault="008B0311" w:rsidP="000B3E97">
            <w:pPr>
              <w:jc w:val="center"/>
              <w:rPr>
                <w:rFonts w:cs="Arial"/>
                <w:lang w:val="fr-FR" w:eastAsia="en-US"/>
              </w:rPr>
            </w:pPr>
            <w:r w:rsidRPr="007F1538">
              <w:rPr>
                <w:rFonts w:cs="Arial"/>
                <w:lang w:val="fr-FR" w:eastAsia="en-US"/>
              </w:rPr>
              <w:t>0,88%</w:t>
            </w:r>
          </w:p>
          <w:p w:rsidR="007D4F8B" w:rsidRPr="007F1538" w:rsidRDefault="00C51586" w:rsidP="000B3E97">
            <w:pPr>
              <w:jc w:val="center"/>
              <w:rPr>
                <w:rFonts w:cs="Arial"/>
                <w:lang w:val="fr-FR" w:eastAsia="en-US"/>
              </w:rPr>
            </w:pPr>
            <w:r w:rsidRPr="007F1538">
              <w:rPr>
                <w:rFonts w:cs="Arial"/>
                <w:lang w:val="fr-FR" w:eastAsia="en-US"/>
              </w:rPr>
              <w:t>0,82%</w:t>
            </w:r>
          </w:p>
        </w:tc>
        <w:tc>
          <w:tcPr>
            <w:tcW w:w="2110" w:type="dxa"/>
            <w:tcBorders>
              <w:top w:val="nil"/>
              <w:left w:val="single" w:sz="4" w:space="0" w:color="auto"/>
              <w:right w:val="single" w:sz="4" w:space="0" w:color="auto"/>
            </w:tcBorders>
          </w:tcPr>
          <w:p w:rsidR="00AE6EEB" w:rsidRPr="007F1538" w:rsidRDefault="00AE6EEB" w:rsidP="000B3E97">
            <w:pPr>
              <w:jc w:val="center"/>
              <w:rPr>
                <w:rFonts w:cs="Arial"/>
                <w:lang w:val="fr-FR" w:eastAsia="en-US"/>
              </w:rPr>
            </w:pPr>
            <w:r w:rsidRPr="007F1538">
              <w:rPr>
                <w:rFonts w:cs="Arial"/>
                <w:lang w:val="fr-FR" w:eastAsia="en-US"/>
              </w:rPr>
              <w:t>0,17%</w:t>
            </w:r>
          </w:p>
          <w:p w:rsidR="00B3400B" w:rsidRPr="007F1538" w:rsidRDefault="007D4F8B" w:rsidP="00B3400B">
            <w:pPr>
              <w:jc w:val="center"/>
              <w:rPr>
                <w:rFonts w:cs="Arial"/>
                <w:lang w:val="fr-FR" w:eastAsia="en-US"/>
              </w:rPr>
            </w:pPr>
            <w:r w:rsidRPr="007F1538">
              <w:rPr>
                <w:rFonts w:cs="Arial"/>
                <w:lang w:val="fr-FR" w:eastAsia="en-US"/>
              </w:rPr>
              <w:t>0,18%</w:t>
            </w:r>
          </w:p>
        </w:tc>
      </w:tr>
      <w:tr w:rsidR="00A963FC" w:rsidRPr="007F1538" w:rsidTr="007F1538">
        <w:tc>
          <w:tcPr>
            <w:tcW w:w="950" w:type="dxa"/>
            <w:tcBorders>
              <w:left w:val="single" w:sz="4" w:space="0" w:color="auto"/>
              <w:bottom w:val="single" w:sz="4" w:space="0" w:color="auto"/>
              <w:right w:val="single" w:sz="4" w:space="0" w:color="auto"/>
            </w:tcBorders>
            <w:shd w:val="clear" w:color="auto" w:fill="auto"/>
            <w:noWrap/>
            <w:vAlign w:val="bottom"/>
          </w:tcPr>
          <w:p w:rsidR="00A963FC" w:rsidRPr="007F1538" w:rsidRDefault="008751E4" w:rsidP="00B3400B">
            <w:pPr>
              <w:jc w:val="center"/>
              <w:rPr>
                <w:rFonts w:cs="Arial"/>
                <w:lang w:val="fr-FR" w:eastAsia="en-US"/>
              </w:rPr>
            </w:pPr>
            <w:r w:rsidRPr="007F1538">
              <w:rPr>
                <w:rFonts w:cs="Arial"/>
                <w:lang w:val="fr-FR" w:eastAsia="en-US"/>
              </w:rPr>
              <w:t>2009</w:t>
            </w:r>
          </w:p>
        </w:tc>
        <w:tc>
          <w:tcPr>
            <w:tcW w:w="1814" w:type="dxa"/>
            <w:tcBorders>
              <w:left w:val="single" w:sz="4" w:space="0" w:color="auto"/>
              <w:bottom w:val="single" w:sz="4" w:space="0" w:color="auto"/>
              <w:right w:val="single" w:sz="4" w:space="0" w:color="auto"/>
            </w:tcBorders>
            <w:shd w:val="clear" w:color="auto" w:fill="auto"/>
            <w:noWrap/>
            <w:vAlign w:val="bottom"/>
          </w:tcPr>
          <w:p w:rsidR="00A963FC" w:rsidRPr="007F1538" w:rsidRDefault="00A963FC" w:rsidP="005C3094">
            <w:pPr>
              <w:jc w:val="center"/>
              <w:rPr>
                <w:rFonts w:cs="Arial"/>
                <w:lang w:val="fr-FR" w:eastAsia="en-US"/>
              </w:rPr>
            </w:pPr>
          </w:p>
        </w:tc>
        <w:tc>
          <w:tcPr>
            <w:tcW w:w="2240" w:type="dxa"/>
            <w:tcBorders>
              <w:left w:val="single" w:sz="4" w:space="0" w:color="auto"/>
              <w:bottom w:val="single" w:sz="4" w:space="0" w:color="auto"/>
              <w:right w:val="single" w:sz="4" w:space="0" w:color="auto"/>
            </w:tcBorders>
            <w:shd w:val="clear" w:color="auto" w:fill="auto"/>
            <w:noWrap/>
            <w:vAlign w:val="bottom"/>
          </w:tcPr>
          <w:p w:rsidR="00A963FC" w:rsidRPr="007F1538" w:rsidRDefault="00A963FC" w:rsidP="005C3094">
            <w:pPr>
              <w:jc w:val="center"/>
              <w:rPr>
                <w:rFonts w:cs="Arial"/>
                <w:lang w:val="fr-FR" w:eastAsia="en-US"/>
              </w:rPr>
            </w:pPr>
          </w:p>
        </w:tc>
        <w:tc>
          <w:tcPr>
            <w:tcW w:w="2080" w:type="dxa"/>
            <w:tcBorders>
              <w:left w:val="single" w:sz="4" w:space="0" w:color="auto"/>
              <w:bottom w:val="single" w:sz="4" w:space="0" w:color="auto"/>
              <w:right w:val="single" w:sz="4" w:space="0" w:color="auto"/>
            </w:tcBorders>
            <w:shd w:val="clear" w:color="auto" w:fill="auto"/>
            <w:noWrap/>
            <w:vAlign w:val="bottom"/>
          </w:tcPr>
          <w:p w:rsidR="00A963FC" w:rsidRPr="007F1538" w:rsidRDefault="00A963FC" w:rsidP="005C3094">
            <w:pPr>
              <w:jc w:val="center"/>
              <w:rPr>
                <w:rFonts w:cs="Arial"/>
                <w:lang w:val="fr-FR" w:eastAsia="en-US"/>
              </w:rPr>
            </w:pPr>
          </w:p>
        </w:tc>
        <w:tc>
          <w:tcPr>
            <w:tcW w:w="2110" w:type="dxa"/>
            <w:tcBorders>
              <w:left w:val="single" w:sz="4" w:space="0" w:color="auto"/>
              <w:bottom w:val="single" w:sz="4" w:space="0" w:color="auto"/>
              <w:right w:val="single" w:sz="4" w:space="0" w:color="auto"/>
            </w:tcBorders>
          </w:tcPr>
          <w:p w:rsidR="00A963FC" w:rsidRPr="007F1538" w:rsidRDefault="008751E4" w:rsidP="00052DAF">
            <w:pPr>
              <w:jc w:val="center"/>
              <w:rPr>
                <w:rFonts w:cs="Arial"/>
                <w:lang w:val="fr-FR"/>
              </w:rPr>
            </w:pPr>
            <w:r w:rsidRPr="007F1538">
              <w:rPr>
                <w:rFonts w:cs="Arial"/>
                <w:lang w:val="fr-FR"/>
              </w:rPr>
              <w:t>0,19%</w:t>
            </w:r>
          </w:p>
        </w:tc>
      </w:tr>
      <w:tr w:rsidR="008751E4" w:rsidRPr="007F1538" w:rsidTr="007F1538">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1E4" w:rsidRPr="007F1538" w:rsidRDefault="007F1538" w:rsidP="00C83789">
            <w:pPr>
              <w:jc w:val="center"/>
              <w:rPr>
                <w:rFonts w:cs="Arial"/>
                <w:i/>
                <w:lang w:val="fr-FR" w:eastAsia="en-US"/>
              </w:rPr>
            </w:pPr>
            <w:r w:rsidRPr="007F1538">
              <w:rPr>
                <w:rFonts w:cs="Arial"/>
                <w:i/>
                <w:lang w:val="fr-FR" w:eastAsia="en-US"/>
              </w:rPr>
              <w:t>Informelles</w:t>
            </w:r>
          </w:p>
          <w:p w:rsidR="008751E4" w:rsidRPr="007F1538" w:rsidRDefault="008751E4" w:rsidP="00C83789">
            <w:pPr>
              <w:jc w:val="center"/>
              <w:rPr>
                <w:rFonts w:cs="Arial"/>
                <w:lang w:val="fr-FR" w:eastAsia="en-US"/>
              </w:rPr>
            </w:pPr>
            <w:r w:rsidRPr="007F1538">
              <w:rPr>
                <w:rFonts w:cs="Arial"/>
                <w:lang w:val="fr-FR" w:eastAsia="en-US"/>
              </w:rPr>
              <w:t>2008</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1E4" w:rsidRPr="007F1538" w:rsidRDefault="008751E4" w:rsidP="00C83789">
            <w:pPr>
              <w:jc w:val="center"/>
              <w:rPr>
                <w:rFonts w:cs="Arial"/>
                <w:lang w:val="fr-FR" w:eastAsia="en-US"/>
              </w:rPr>
            </w:pPr>
            <w:r w:rsidRPr="007F1538">
              <w:rPr>
                <w:rFonts w:cs="Arial"/>
                <w:lang w:val="fr-FR" w:eastAsia="en-US"/>
              </w:rPr>
              <w:t>14,10%</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1E4" w:rsidRPr="007F1538" w:rsidRDefault="008751E4" w:rsidP="00C83789">
            <w:pPr>
              <w:jc w:val="center"/>
              <w:rPr>
                <w:rFonts w:cs="Arial"/>
                <w:lang w:val="fr-FR" w:eastAsia="en-US"/>
              </w:rPr>
            </w:pPr>
            <w:r w:rsidRPr="007F1538">
              <w:rPr>
                <w:rFonts w:cs="Arial"/>
                <w:lang w:val="fr-FR" w:eastAsia="en-US"/>
              </w:rPr>
              <w:t>0,28%</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1E4" w:rsidRPr="007F1538" w:rsidRDefault="008751E4" w:rsidP="00C83789">
            <w:pPr>
              <w:jc w:val="center"/>
              <w:rPr>
                <w:rFonts w:cs="Arial"/>
                <w:lang w:val="fr-FR" w:eastAsia="en-US"/>
              </w:rPr>
            </w:pPr>
            <w:r w:rsidRPr="007F1538">
              <w:rPr>
                <w:rFonts w:cs="Arial"/>
                <w:lang w:val="fr-FR"/>
              </w:rPr>
              <w:t>0,27%</w:t>
            </w:r>
          </w:p>
        </w:tc>
        <w:tc>
          <w:tcPr>
            <w:tcW w:w="2110" w:type="dxa"/>
            <w:tcBorders>
              <w:top w:val="single" w:sz="4" w:space="0" w:color="auto"/>
              <w:left w:val="single" w:sz="4" w:space="0" w:color="auto"/>
              <w:bottom w:val="single" w:sz="4" w:space="0" w:color="auto"/>
              <w:right w:val="single" w:sz="4" w:space="0" w:color="auto"/>
            </w:tcBorders>
          </w:tcPr>
          <w:p w:rsidR="008751E4" w:rsidRPr="007F1538" w:rsidRDefault="008751E4" w:rsidP="00C83789">
            <w:pPr>
              <w:jc w:val="center"/>
              <w:rPr>
                <w:rFonts w:cs="Arial"/>
                <w:i/>
                <w:lang w:val="fr-FR"/>
              </w:rPr>
            </w:pPr>
          </w:p>
        </w:tc>
      </w:tr>
      <w:tr w:rsidR="008751E4" w:rsidRPr="007F1538" w:rsidTr="007F1538">
        <w:tc>
          <w:tcPr>
            <w:tcW w:w="950" w:type="dxa"/>
            <w:tcBorders>
              <w:top w:val="nil"/>
              <w:left w:val="single" w:sz="4" w:space="0" w:color="auto"/>
              <w:bottom w:val="single" w:sz="4" w:space="0" w:color="auto"/>
              <w:right w:val="single" w:sz="4" w:space="0" w:color="auto"/>
            </w:tcBorders>
            <w:shd w:val="clear" w:color="auto" w:fill="auto"/>
            <w:noWrap/>
            <w:vAlign w:val="bottom"/>
          </w:tcPr>
          <w:p w:rsidR="008751E4" w:rsidRPr="007F1538" w:rsidRDefault="007F1538" w:rsidP="00C83789">
            <w:pPr>
              <w:jc w:val="center"/>
              <w:rPr>
                <w:rFonts w:cs="Arial"/>
                <w:i/>
                <w:lang w:val="fr-FR" w:eastAsia="en-US"/>
              </w:rPr>
            </w:pPr>
            <w:r w:rsidRPr="007F1538">
              <w:rPr>
                <w:rFonts w:cs="Arial"/>
                <w:i/>
                <w:lang w:val="fr-FR" w:eastAsia="en-US"/>
              </w:rPr>
              <w:t>Form+Inform</w:t>
            </w:r>
          </w:p>
          <w:p w:rsidR="008751E4" w:rsidRPr="007F1538" w:rsidRDefault="008751E4" w:rsidP="00C83789">
            <w:pPr>
              <w:jc w:val="center"/>
              <w:rPr>
                <w:rFonts w:cs="Arial"/>
                <w:lang w:val="fr-FR" w:eastAsia="en-US"/>
              </w:rPr>
            </w:pPr>
            <w:r w:rsidRPr="007F1538">
              <w:rPr>
                <w:rFonts w:cs="Arial"/>
                <w:lang w:val="fr-FR" w:eastAsia="en-US"/>
              </w:rPr>
              <w:t>200</w:t>
            </w:r>
            <w:r w:rsidR="006D1A82" w:rsidRPr="007F1538">
              <w:rPr>
                <w:rFonts w:cs="Arial"/>
                <w:lang w:val="fr-FR" w:eastAsia="en-US"/>
              </w:rPr>
              <w:t>8</w:t>
            </w:r>
          </w:p>
        </w:tc>
        <w:tc>
          <w:tcPr>
            <w:tcW w:w="1814" w:type="dxa"/>
            <w:tcBorders>
              <w:top w:val="nil"/>
              <w:left w:val="single" w:sz="4" w:space="0" w:color="auto"/>
              <w:bottom w:val="single" w:sz="4" w:space="0" w:color="auto"/>
              <w:right w:val="single" w:sz="4" w:space="0" w:color="auto"/>
            </w:tcBorders>
            <w:shd w:val="clear" w:color="auto" w:fill="auto"/>
            <w:noWrap/>
            <w:vAlign w:val="bottom"/>
          </w:tcPr>
          <w:p w:rsidR="008751E4" w:rsidRPr="007F1538" w:rsidRDefault="008751E4" w:rsidP="00C83789">
            <w:pPr>
              <w:jc w:val="center"/>
              <w:rPr>
                <w:rFonts w:cs="Arial"/>
                <w:i/>
                <w:lang w:val="fr-FR" w:eastAsia="en-US"/>
              </w:rPr>
            </w:pPr>
          </w:p>
        </w:tc>
        <w:tc>
          <w:tcPr>
            <w:tcW w:w="2240" w:type="dxa"/>
            <w:tcBorders>
              <w:top w:val="nil"/>
              <w:left w:val="single" w:sz="4" w:space="0" w:color="auto"/>
              <w:bottom w:val="single" w:sz="4" w:space="0" w:color="auto"/>
              <w:right w:val="single" w:sz="4" w:space="0" w:color="auto"/>
            </w:tcBorders>
            <w:shd w:val="clear" w:color="auto" w:fill="auto"/>
            <w:noWrap/>
            <w:vAlign w:val="bottom"/>
          </w:tcPr>
          <w:p w:rsidR="008751E4" w:rsidRPr="007F1538" w:rsidRDefault="008751E4" w:rsidP="00C83789">
            <w:pPr>
              <w:jc w:val="center"/>
              <w:rPr>
                <w:rFonts w:cs="Arial"/>
                <w:lang w:val="fr-FR" w:eastAsia="en-US"/>
              </w:rPr>
            </w:pPr>
            <w:r w:rsidRPr="007F1538">
              <w:rPr>
                <w:rFonts w:cs="Arial"/>
                <w:lang w:val="fr-FR" w:eastAsia="en-US"/>
              </w:rPr>
              <w:t>0,89%</w:t>
            </w:r>
          </w:p>
        </w:tc>
        <w:tc>
          <w:tcPr>
            <w:tcW w:w="2080" w:type="dxa"/>
            <w:tcBorders>
              <w:top w:val="nil"/>
              <w:left w:val="single" w:sz="4" w:space="0" w:color="auto"/>
              <w:bottom w:val="single" w:sz="4" w:space="0" w:color="auto"/>
              <w:right w:val="single" w:sz="4" w:space="0" w:color="auto"/>
            </w:tcBorders>
            <w:shd w:val="clear" w:color="auto" w:fill="auto"/>
            <w:noWrap/>
            <w:vAlign w:val="bottom"/>
          </w:tcPr>
          <w:p w:rsidR="008751E4" w:rsidRPr="007F1538" w:rsidRDefault="008751E4" w:rsidP="00C83789">
            <w:pPr>
              <w:jc w:val="center"/>
              <w:rPr>
                <w:rFonts w:cs="Arial"/>
                <w:lang w:val="fr-FR"/>
              </w:rPr>
            </w:pPr>
            <w:r w:rsidRPr="007F1538">
              <w:rPr>
                <w:rFonts w:cs="Arial"/>
                <w:lang w:val="fr-FR"/>
              </w:rPr>
              <w:t>1,09%</w:t>
            </w:r>
          </w:p>
        </w:tc>
        <w:tc>
          <w:tcPr>
            <w:tcW w:w="2110" w:type="dxa"/>
            <w:tcBorders>
              <w:top w:val="nil"/>
              <w:left w:val="single" w:sz="4" w:space="0" w:color="auto"/>
              <w:bottom w:val="single" w:sz="4" w:space="0" w:color="auto"/>
              <w:right w:val="single" w:sz="4" w:space="0" w:color="auto"/>
            </w:tcBorders>
          </w:tcPr>
          <w:p w:rsidR="008751E4" w:rsidRPr="007F1538" w:rsidRDefault="008751E4" w:rsidP="00C83789">
            <w:pPr>
              <w:jc w:val="center"/>
              <w:rPr>
                <w:rFonts w:cs="Arial"/>
                <w:i/>
                <w:lang w:val="fr-FR"/>
              </w:rPr>
            </w:pPr>
          </w:p>
        </w:tc>
      </w:tr>
      <w:tr w:rsidR="008751E4" w:rsidRPr="007B0288" w:rsidTr="007F1538">
        <w:trPr>
          <w:gridAfter w:val="1"/>
          <w:wAfter w:w="2110" w:type="dxa"/>
        </w:trPr>
        <w:tc>
          <w:tcPr>
            <w:tcW w:w="7084" w:type="dxa"/>
            <w:gridSpan w:val="4"/>
            <w:tcBorders>
              <w:top w:val="single" w:sz="4" w:space="0" w:color="auto"/>
              <w:left w:val="nil"/>
              <w:bottom w:val="nil"/>
              <w:right w:val="nil"/>
            </w:tcBorders>
            <w:shd w:val="clear" w:color="auto" w:fill="auto"/>
            <w:noWrap/>
            <w:vAlign w:val="bottom"/>
          </w:tcPr>
          <w:p w:rsidR="008751E4" w:rsidRPr="007F1538" w:rsidRDefault="007F1538" w:rsidP="00A867CB">
            <w:pPr>
              <w:rPr>
                <w:rFonts w:cs="Arial"/>
                <w:sz w:val="18"/>
                <w:szCs w:val="18"/>
                <w:lang w:val="fr-FR" w:eastAsia="en-US"/>
              </w:rPr>
            </w:pPr>
            <w:r w:rsidRPr="007F1538">
              <w:rPr>
                <w:rFonts w:cs="Arial"/>
                <w:sz w:val="18"/>
                <w:szCs w:val="18"/>
                <w:lang w:val="fr-FR" w:eastAsia="en-US"/>
              </w:rPr>
              <w:t>Source :</w:t>
            </w:r>
            <w:r w:rsidR="008751E4" w:rsidRPr="007F1538">
              <w:rPr>
                <w:rFonts w:cs="Arial"/>
                <w:sz w:val="18"/>
                <w:szCs w:val="18"/>
                <w:lang w:val="fr-FR" w:eastAsia="en-US"/>
              </w:rPr>
              <w:t xml:space="preserve"> </w:t>
            </w:r>
            <w:r w:rsidRPr="007F1538">
              <w:rPr>
                <w:rFonts w:cs="Arial"/>
                <w:sz w:val="18"/>
                <w:szCs w:val="18"/>
                <w:lang w:val="fr-FR" w:eastAsia="en-US"/>
              </w:rPr>
              <w:t xml:space="preserve">colonnes </w:t>
            </w:r>
            <w:r w:rsidR="00A867CB">
              <w:rPr>
                <w:rFonts w:cs="Arial"/>
                <w:sz w:val="18"/>
                <w:szCs w:val="18"/>
                <w:lang w:val="fr-FR" w:eastAsia="en-US"/>
              </w:rPr>
              <w:t>2</w:t>
            </w:r>
            <w:r w:rsidRPr="007F1538">
              <w:rPr>
                <w:rFonts w:cs="Arial"/>
                <w:sz w:val="18"/>
                <w:szCs w:val="18"/>
                <w:lang w:val="fr-FR" w:eastAsia="en-US"/>
              </w:rPr>
              <w:t>-</w:t>
            </w:r>
            <w:r w:rsidR="00A867CB">
              <w:rPr>
                <w:rFonts w:cs="Arial"/>
                <w:sz w:val="18"/>
                <w:szCs w:val="18"/>
                <w:lang w:val="fr-FR" w:eastAsia="en-US"/>
              </w:rPr>
              <w:t>4</w:t>
            </w:r>
            <w:r w:rsidRPr="007F1538">
              <w:rPr>
                <w:rFonts w:cs="Arial"/>
                <w:sz w:val="18"/>
                <w:szCs w:val="18"/>
                <w:lang w:val="fr-FR" w:eastAsia="en-US"/>
              </w:rPr>
              <w:t xml:space="preserve"> :</w:t>
            </w:r>
            <w:r w:rsidR="008751E4" w:rsidRPr="007F1538">
              <w:rPr>
                <w:rFonts w:cs="Arial"/>
                <w:sz w:val="18"/>
                <w:szCs w:val="18"/>
                <w:lang w:val="fr-FR" w:eastAsia="en-US"/>
              </w:rPr>
              <w:t xml:space="preserve"> </w:t>
            </w:r>
            <w:r w:rsidRPr="007F1538">
              <w:rPr>
                <w:rFonts w:cs="Arial"/>
                <w:sz w:val="18"/>
                <w:szCs w:val="18"/>
                <w:lang w:val="fr-FR" w:eastAsia="en-US"/>
              </w:rPr>
              <w:t xml:space="preserve">CCE sur la base du bilan social ; colonne </w:t>
            </w:r>
            <w:r w:rsidR="00A867CB">
              <w:rPr>
                <w:rFonts w:cs="Arial"/>
                <w:sz w:val="18"/>
                <w:szCs w:val="18"/>
                <w:lang w:val="fr-FR" w:eastAsia="en-US"/>
              </w:rPr>
              <w:t>5</w:t>
            </w:r>
            <w:r w:rsidRPr="007F1538">
              <w:rPr>
                <w:rFonts w:cs="Arial"/>
                <w:sz w:val="18"/>
                <w:szCs w:val="18"/>
                <w:lang w:val="fr-FR" w:eastAsia="en-US"/>
              </w:rPr>
              <w:t> :</w:t>
            </w:r>
            <w:r w:rsidR="008751E4" w:rsidRPr="007F1538">
              <w:rPr>
                <w:rFonts w:cs="Arial"/>
                <w:sz w:val="18"/>
                <w:szCs w:val="18"/>
                <w:lang w:val="fr-FR" w:eastAsia="en-US"/>
              </w:rPr>
              <w:t xml:space="preserve"> </w:t>
            </w:r>
            <w:r w:rsidRPr="007F1538">
              <w:rPr>
                <w:rFonts w:cs="Arial"/>
                <w:sz w:val="18"/>
                <w:szCs w:val="18"/>
                <w:lang w:val="fr-FR" w:eastAsia="en-US"/>
              </w:rPr>
              <w:t>IFP</w:t>
            </w:r>
          </w:p>
        </w:tc>
      </w:tr>
    </w:tbl>
    <w:p w:rsidR="00D6165B" w:rsidRPr="007F1538" w:rsidRDefault="005E0D3F" w:rsidP="007F1538">
      <w:pPr>
        <w:pStyle w:val="Heading2"/>
        <w:rPr>
          <w:lang w:val="fr-FR"/>
        </w:rPr>
      </w:pPr>
      <w:bookmarkStart w:id="9" w:name="_Toc233192566"/>
      <w:bookmarkStart w:id="10" w:name="_Toc231044708"/>
      <w:r w:rsidRPr="007F1538">
        <w:rPr>
          <w:lang w:val="fr-FR"/>
        </w:rPr>
        <w:br w:type="page"/>
      </w:r>
      <w:bookmarkStart w:id="11" w:name="_Toc267060118"/>
      <w:bookmarkStart w:id="12" w:name="_Toc269220672"/>
      <w:bookmarkEnd w:id="9"/>
      <w:r w:rsidR="007F1538" w:rsidRPr="007F1538">
        <w:rPr>
          <w:lang w:val="fr-FR"/>
        </w:rPr>
        <w:lastRenderedPageBreak/>
        <w:t>Efforts de formation en comparaison avec d’autres secteurs.</w:t>
      </w:r>
      <w:bookmarkEnd w:id="11"/>
      <w:bookmarkEnd w:id="12"/>
    </w:p>
    <w:p w:rsidR="00101B4A" w:rsidRPr="007F1538" w:rsidRDefault="007F1538" w:rsidP="00213DBA">
      <w:pPr>
        <w:rPr>
          <w:szCs w:val="24"/>
          <w:lang w:val="fr-FR" w:eastAsia="nl-BE"/>
        </w:rPr>
      </w:pPr>
      <w:r w:rsidRPr="007F1538">
        <w:rPr>
          <w:szCs w:val="24"/>
          <w:lang w:val="fr-FR" w:eastAsia="nl-BE"/>
        </w:rPr>
        <w:t>En 2008, toute l’industrie a été confrontée à une diminution des efforts de formation.</w:t>
      </w:r>
      <w:r w:rsidR="00E86EB7" w:rsidRPr="007F1538">
        <w:rPr>
          <w:szCs w:val="24"/>
          <w:lang w:val="fr-FR" w:eastAsia="nl-BE"/>
        </w:rPr>
        <w:t xml:space="preserve"> </w:t>
      </w:r>
      <w:r w:rsidRPr="007F1538">
        <w:rPr>
          <w:szCs w:val="24"/>
          <w:lang w:val="fr-FR" w:eastAsia="nl-BE"/>
        </w:rPr>
        <w:t>L’économie dans son ensemble a mieux résisté, même si les pourcentages de travailleurs qui ont bénéficié d’une formation et d'heures de formation en comparaison avec les heures de travail affichent également une baisse.</w:t>
      </w:r>
    </w:p>
    <w:p w:rsidR="00101B4A" w:rsidRPr="007F1538" w:rsidRDefault="00101B4A" w:rsidP="00213DBA">
      <w:pPr>
        <w:rPr>
          <w:szCs w:val="24"/>
          <w:lang w:val="fr-FR" w:eastAsia="nl-BE"/>
        </w:rPr>
      </w:pPr>
    </w:p>
    <w:p w:rsidR="00213DBA" w:rsidRPr="007F1538" w:rsidRDefault="007F1538" w:rsidP="00213DBA">
      <w:pPr>
        <w:rPr>
          <w:szCs w:val="24"/>
          <w:lang w:val="fr-FR" w:eastAsia="nl-BE"/>
        </w:rPr>
      </w:pPr>
      <w:r w:rsidRPr="007F1538">
        <w:rPr>
          <w:szCs w:val="24"/>
          <w:lang w:val="fr-FR" w:eastAsia="nl-BE"/>
        </w:rPr>
        <w:t>Tableau 2 : Efforts de formation industrie alimentaire par rapport à d’autres secteurs en 2008</w:t>
      </w:r>
    </w:p>
    <w:p w:rsidR="00213DBA" w:rsidRPr="007F1538" w:rsidRDefault="00213DBA" w:rsidP="00213DBA">
      <w:pPr>
        <w:rPr>
          <w:szCs w:val="24"/>
          <w:lang w:val="fr-FR" w:eastAsia="nl-BE"/>
        </w:rPr>
      </w:pPr>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4"/>
        <w:gridCol w:w="210"/>
        <w:gridCol w:w="1139"/>
        <w:gridCol w:w="269"/>
        <w:gridCol w:w="865"/>
        <w:gridCol w:w="1134"/>
        <w:gridCol w:w="1276"/>
        <w:gridCol w:w="1134"/>
        <w:gridCol w:w="1275"/>
      </w:tblGrid>
      <w:tr w:rsidR="00E86EB7" w:rsidRPr="007B0288" w:rsidTr="007F1538">
        <w:tc>
          <w:tcPr>
            <w:tcW w:w="1994" w:type="dxa"/>
            <w:gridSpan w:val="2"/>
            <w:shd w:val="clear" w:color="auto" w:fill="auto"/>
            <w:noWrap/>
          </w:tcPr>
          <w:p w:rsidR="00E86EB7" w:rsidRPr="007F1538" w:rsidRDefault="00E86EB7" w:rsidP="00AD750B">
            <w:pPr>
              <w:jc w:val="center"/>
              <w:rPr>
                <w:rFonts w:cs="Arial"/>
                <w:lang w:val="fr-FR" w:eastAsia="en-US"/>
              </w:rPr>
            </w:pPr>
          </w:p>
        </w:tc>
        <w:tc>
          <w:tcPr>
            <w:tcW w:w="2273" w:type="dxa"/>
            <w:gridSpan w:val="3"/>
            <w:shd w:val="clear" w:color="auto" w:fill="auto"/>
            <w:noWrap/>
          </w:tcPr>
          <w:p w:rsidR="00E86EB7" w:rsidRPr="007F1538" w:rsidRDefault="007F1538" w:rsidP="00690B4E">
            <w:pPr>
              <w:jc w:val="center"/>
              <w:rPr>
                <w:rFonts w:cs="Arial"/>
                <w:lang w:val="fr-FR" w:eastAsia="en-US"/>
              </w:rPr>
            </w:pPr>
            <w:r w:rsidRPr="007F1538">
              <w:rPr>
                <w:rFonts w:cs="Arial"/>
                <w:lang w:val="fr-FR" w:eastAsia="en-US"/>
              </w:rPr>
              <w:t>Pourcentage de travailleurs qui ont suivi une formation</w:t>
            </w:r>
          </w:p>
        </w:tc>
        <w:tc>
          <w:tcPr>
            <w:tcW w:w="2410" w:type="dxa"/>
            <w:gridSpan w:val="2"/>
            <w:shd w:val="clear" w:color="auto" w:fill="auto"/>
            <w:noWrap/>
          </w:tcPr>
          <w:p w:rsidR="00E86EB7" w:rsidRPr="007F1538" w:rsidRDefault="007F1538" w:rsidP="00690B4E">
            <w:pPr>
              <w:jc w:val="center"/>
              <w:rPr>
                <w:rFonts w:cs="Arial"/>
                <w:lang w:val="fr-FR" w:eastAsia="en-US"/>
              </w:rPr>
            </w:pPr>
            <w:r w:rsidRPr="008066E5">
              <w:rPr>
                <w:rFonts w:cs="Arial"/>
                <w:lang w:val="fr-FR" w:eastAsia="en-US"/>
              </w:rPr>
              <w:t xml:space="preserve">Pourcentage des </w:t>
            </w:r>
            <w:r w:rsidR="008066E5" w:rsidRPr="008066E5">
              <w:rPr>
                <w:rFonts w:cs="Arial"/>
                <w:lang w:val="fr-FR" w:eastAsia="en-US"/>
              </w:rPr>
              <w:t>coûts</w:t>
            </w:r>
            <w:r w:rsidRPr="008066E5">
              <w:rPr>
                <w:rFonts w:cs="Arial"/>
                <w:lang w:val="fr-FR" w:eastAsia="en-US"/>
              </w:rPr>
              <w:t xml:space="preserve"> de formation par rapport aux coûts totaux en personnel</w:t>
            </w:r>
          </w:p>
        </w:tc>
        <w:tc>
          <w:tcPr>
            <w:tcW w:w="2409" w:type="dxa"/>
            <w:gridSpan w:val="2"/>
            <w:shd w:val="clear" w:color="auto" w:fill="auto"/>
            <w:noWrap/>
          </w:tcPr>
          <w:p w:rsidR="00E86EB7" w:rsidRPr="007F1538" w:rsidRDefault="007F1538" w:rsidP="00690B4E">
            <w:pPr>
              <w:jc w:val="center"/>
              <w:rPr>
                <w:rFonts w:cs="Arial"/>
                <w:lang w:val="fr-FR" w:eastAsia="en-US"/>
              </w:rPr>
            </w:pPr>
            <w:r w:rsidRPr="007F1538">
              <w:rPr>
                <w:rFonts w:cs="Arial"/>
                <w:lang w:val="fr-FR" w:eastAsia="en-US"/>
              </w:rPr>
              <w:t>Pourcentage des heures de formation par rapport aux heures de travail</w:t>
            </w:r>
          </w:p>
        </w:tc>
      </w:tr>
      <w:tr w:rsidR="00E86EB7" w:rsidRPr="007F1538" w:rsidTr="007F1538">
        <w:tc>
          <w:tcPr>
            <w:tcW w:w="1994" w:type="dxa"/>
            <w:gridSpan w:val="2"/>
            <w:shd w:val="clear" w:color="auto" w:fill="auto"/>
            <w:noWrap/>
            <w:vAlign w:val="bottom"/>
          </w:tcPr>
          <w:p w:rsidR="00E86EB7" w:rsidRPr="007F1538" w:rsidRDefault="00E86EB7" w:rsidP="00AD750B">
            <w:pPr>
              <w:jc w:val="center"/>
              <w:rPr>
                <w:rFonts w:cs="Arial"/>
                <w:lang w:val="fr-FR" w:eastAsia="en-US"/>
              </w:rPr>
            </w:pPr>
          </w:p>
        </w:tc>
        <w:tc>
          <w:tcPr>
            <w:tcW w:w="1139" w:type="dxa"/>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2007</w:t>
            </w:r>
          </w:p>
        </w:tc>
        <w:tc>
          <w:tcPr>
            <w:tcW w:w="1134" w:type="dxa"/>
            <w:gridSpan w:val="2"/>
          </w:tcPr>
          <w:p w:rsidR="00E86EB7" w:rsidRPr="007F1538" w:rsidRDefault="00E86EB7" w:rsidP="00AD750B">
            <w:pPr>
              <w:jc w:val="center"/>
              <w:rPr>
                <w:rFonts w:cs="Arial"/>
                <w:lang w:val="fr-FR" w:eastAsia="en-US"/>
              </w:rPr>
            </w:pPr>
            <w:r w:rsidRPr="007F1538">
              <w:rPr>
                <w:rFonts w:cs="Arial"/>
                <w:lang w:val="fr-FR" w:eastAsia="en-US"/>
              </w:rPr>
              <w:t>2008</w:t>
            </w:r>
          </w:p>
        </w:tc>
        <w:tc>
          <w:tcPr>
            <w:tcW w:w="1134" w:type="dxa"/>
            <w:shd w:val="clear" w:color="auto" w:fill="auto"/>
            <w:noWrap/>
            <w:vAlign w:val="bottom"/>
          </w:tcPr>
          <w:p w:rsidR="00E86EB7" w:rsidRPr="007F1538" w:rsidRDefault="00E86EB7" w:rsidP="00587B6A">
            <w:pPr>
              <w:jc w:val="center"/>
              <w:rPr>
                <w:rFonts w:cs="Arial"/>
                <w:lang w:val="fr-FR" w:eastAsia="en-US"/>
              </w:rPr>
            </w:pPr>
            <w:r w:rsidRPr="007F1538">
              <w:rPr>
                <w:rFonts w:cs="Arial"/>
                <w:lang w:val="fr-FR" w:eastAsia="en-US"/>
              </w:rPr>
              <w:t>2007</w:t>
            </w:r>
          </w:p>
        </w:tc>
        <w:tc>
          <w:tcPr>
            <w:tcW w:w="1276" w:type="dxa"/>
          </w:tcPr>
          <w:p w:rsidR="00E86EB7" w:rsidRPr="007F1538" w:rsidRDefault="00E86EB7" w:rsidP="00587B6A">
            <w:pPr>
              <w:jc w:val="center"/>
              <w:rPr>
                <w:rFonts w:cs="Arial"/>
                <w:lang w:val="fr-FR" w:eastAsia="en-US"/>
              </w:rPr>
            </w:pPr>
            <w:r w:rsidRPr="007F1538">
              <w:rPr>
                <w:rFonts w:cs="Arial"/>
                <w:lang w:val="fr-FR" w:eastAsia="en-US"/>
              </w:rPr>
              <w:t>2008</w:t>
            </w:r>
          </w:p>
        </w:tc>
        <w:tc>
          <w:tcPr>
            <w:tcW w:w="1134" w:type="dxa"/>
            <w:shd w:val="clear" w:color="auto" w:fill="auto"/>
            <w:noWrap/>
            <w:vAlign w:val="bottom"/>
          </w:tcPr>
          <w:p w:rsidR="00E86EB7" w:rsidRPr="007F1538" w:rsidRDefault="00E86EB7" w:rsidP="00587B6A">
            <w:pPr>
              <w:jc w:val="center"/>
              <w:rPr>
                <w:rFonts w:cs="Arial"/>
                <w:lang w:val="fr-FR" w:eastAsia="en-US"/>
              </w:rPr>
            </w:pPr>
            <w:r w:rsidRPr="007F1538">
              <w:rPr>
                <w:rFonts w:cs="Arial"/>
                <w:lang w:val="fr-FR" w:eastAsia="en-US"/>
              </w:rPr>
              <w:t>2007</w:t>
            </w:r>
          </w:p>
        </w:tc>
        <w:tc>
          <w:tcPr>
            <w:tcW w:w="1275" w:type="dxa"/>
          </w:tcPr>
          <w:p w:rsidR="00E86EB7" w:rsidRPr="007F1538" w:rsidRDefault="00E86EB7" w:rsidP="00587B6A">
            <w:pPr>
              <w:jc w:val="center"/>
              <w:rPr>
                <w:rFonts w:cs="Arial"/>
                <w:lang w:val="fr-FR" w:eastAsia="en-US"/>
              </w:rPr>
            </w:pPr>
            <w:r w:rsidRPr="007F1538">
              <w:rPr>
                <w:rFonts w:cs="Arial"/>
                <w:lang w:val="fr-FR" w:eastAsia="en-US"/>
              </w:rPr>
              <w:t>2008</w:t>
            </w:r>
          </w:p>
        </w:tc>
      </w:tr>
      <w:tr w:rsidR="00E86EB7" w:rsidRPr="007F1538" w:rsidTr="007F1538">
        <w:tc>
          <w:tcPr>
            <w:tcW w:w="1994" w:type="dxa"/>
            <w:gridSpan w:val="2"/>
            <w:shd w:val="clear" w:color="auto" w:fill="auto"/>
            <w:noWrap/>
            <w:vAlign w:val="bottom"/>
          </w:tcPr>
          <w:p w:rsidR="00E86EB7" w:rsidRPr="007F1538" w:rsidRDefault="007F1538" w:rsidP="00690B4E">
            <w:pPr>
              <w:jc w:val="center"/>
              <w:rPr>
                <w:rFonts w:cs="Arial"/>
                <w:lang w:val="fr-FR" w:eastAsia="en-US"/>
              </w:rPr>
            </w:pPr>
            <w:r w:rsidRPr="007F1538">
              <w:rPr>
                <w:rFonts w:cs="Arial"/>
                <w:lang w:val="fr-FR" w:eastAsia="en-US"/>
              </w:rPr>
              <w:t>Industrie alimentaire</w:t>
            </w:r>
          </w:p>
        </w:tc>
        <w:tc>
          <w:tcPr>
            <w:tcW w:w="1139" w:type="dxa"/>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39,7%</w:t>
            </w:r>
          </w:p>
        </w:tc>
        <w:tc>
          <w:tcPr>
            <w:tcW w:w="1134" w:type="dxa"/>
            <w:gridSpan w:val="2"/>
            <w:vAlign w:val="bottom"/>
          </w:tcPr>
          <w:p w:rsidR="00E86EB7" w:rsidRPr="007F1538" w:rsidRDefault="00E86EB7" w:rsidP="00587B6A">
            <w:pPr>
              <w:jc w:val="center"/>
              <w:rPr>
                <w:rFonts w:cs="Arial"/>
                <w:lang w:val="fr-FR" w:eastAsia="en-US"/>
              </w:rPr>
            </w:pPr>
            <w:r w:rsidRPr="007F1538">
              <w:rPr>
                <w:rFonts w:cs="Arial"/>
                <w:lang w:val="fr-FR" w:eastAsia="en-US"/>
              </w:rPr>
              <w:t>35,5%</w:t>
            </w:r>
          </w:p>
        </w:tc>
        <w:tc>
          <w:tcPr>
            <w:tcW w:w="1134" w:type="dxa"/>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0,88%</w:t>
            </w:r>
          </w:p>
        </w:tc>
        <w:tc>
          <w:tcPr>
            <w:tcW w:w="1276" w:type="dxa"/>
            <w:vAlign w:val="bottom"/>
          </w:tcPr>
          <w:p w:rsidR="00E86EB7" w:rsidRPr="007F1538" w:rsidRDefault="00E86EB7" w:rsidP="00587B6A">
            <w:pPr>
              <w:jc w:val="center"/>
              <w:rPr>
                <w:rFonts w:cs="Arial"/>
                <w:lang w:val="fr-FR" w:eastAsia="en-US"/>
              </w:rPr>
            </w:pPr>
            <w:r w:rsidRPr="007F1538">
              <w:rPr>
                <w:rFonts w:cs="Arial"/>
                <w:lang w:val="fr-FR" w:eastAsia="en-US"/>
              </w:rPr>
              <w:t>0,82%</w:t>
            </w:r>
          </w:p>
        </w:tc>
        <w:tc>
          <w:tcPr>
            <w:tcW w:w="1134" w:type="dxa"/>
            <w:shd w:val="clear" w:color="auto" w:fill="auto"/>
            <w:noWrap/>
            <w:vAlign w:val="bottom"/>
          </w:tcPr>
          <w:p w:rsidR="00E86EB7" w:rsidRPr="007F1538" w:rsidRDefault="00EB4305" w:rsidP="00AD750B">
            <w:pPr>
              <w:jc w:val="center"/>
              <w:rPr>
                <w:rFonts w:cs="Arial"/>
                <w:lang w:val="fr-FR" w:eastAsia="en-US"/>
              </w:rPr>
            </w:pPr>
            <w:r w:rsidRPr="007F1538">
              <w:rPr>
                <w:rFonts w:cs="Arial"/>
                <w:lang w:val="fr-FR" w:eastAsia="en-US"/>
              </w:rPr>
              <w:t>0,82</w:t>
            </w:r>
            <w:r w:rsidR="00E86EB7" w:rsidRPr="007F1538">
              <w:rPr>
                <w:rFonts w:cs="Arial"/>
                <w:lang w:val="fr-FR" w:eastAsia="en-US"/>
              </w:rPr>
              <w:t>%</w:t>
            </w:r>
          </w:p>
        </w:tc>
        <w:tc>
          <w:tcPr>
            <w:tcW w:w="1275" w:type="dxa"/>
            <w:vAlign w:val="bottom"/>
          </w:tcPr>
          <w:p w:rsidR="00E86EB7" w:rsidRPr="007F1538" w:rsidRDefault="00E86EB7" w:rsidP="00587B6A">
            <w:pPr>
              <w:jc w:val="center"/>
              <w:rPr>
                <w:rFonts w:cs="Arial"/>
                <w:lang w:val="fr-FR" w:eastAsia="en-US"/>
              </w:rPr>
            </w:pPr>
            <w:r w:rsidRPr="007F1538">
              <w:rPr>
                <w:rFonts w:cs="Arial"/>
                <w:lang w:val="fr-FR" w:eastAsia="en-US"/>
              </w:rPr>
              <w:t>0,61%</w:t>
            </w:r>
          </w:p>
        </w:tc>
      </w:tr>
      <w:tr w:rsidR="00E86EB7" w:rsidRPr="007F1538" w:rsidTr="007F1538">
        <w:tc>
          <w:tcPr>
            <w:tcW w:w="1994" w:type="dxa"/>
            <w:gridSpan w:val="2"/>
            <w:shd w:val="clear" w:color="auto" w:fill="auto"/>
            <w:noWrap/>
            <w:vAlign w:val="bottom"/>
          </w:tcPr>
          <w:p w:rsidR="00E86EB7" w:rsidRPr="007F1538" w:rsidRDefault="007F1538" w:rsidP="00690B4E">
            <w:pPr>
              <w:jc w:val="center"/>
              <w:rPr>
                <w:rFonts w:cs="Arial"/>
                <w:lang w:val="fr-FR" w:eastAsia="en-US"/>
              </w:rPr>
            </w:pPr>
            <w:r w:rsidRPr="007F1538">
              <w:rPr>
                <w:rFonts w:cs="Arial"/>
                <w:lang w:val="fr-FR" w:eastAsia="en-US"/>
              </w:rPr>
              <w:t>Industrie</w:t>
            </w:r>
          </w:p>
        </w:tc>
        <w:tc>
          <w:tcPr>
            <w:tcW w:w="1139" w:type="dxa"/>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42,6%</w:t>
            </w:r>
          </w:p>
        </w:tc>
        <w:tc>
          <w:tcPr>
            <w:tcW w:w="1134" w:type="dxa"/>
            <w:gridSpan w:val="2"/>
            <w:vAlign w:val="bottom"/>
          </w:tcPr>
          <w:p w:rsidR="00E86EB7" w:rsidRPr="007F1538" w:rsidRDefault="00E86EB7" w:rsidP="00587B6A">
            <w:pPr>
              <w:jc w:val="center"/>
              <w:rPr>
                <w:rFonts w:cs="Arial"/>
                <w:lang w:val="fr-FR" w:eastAsia="en-US"/>
              </w:rPr>
            </w:pPr>
            <w:r w:rsidRPr="007F1538">
              <w:rPr>
                <w:rFonts w:cs="Arial"/>
                <w:lang w:val="fr-FR" w:eastAsia="en-US"/>
              </w:rPr>
              <w:t>38,6%</w:t>
            </w:r>
          </w:p>
        </w:tc>
        <w:tc>
          <w:tcPr>
            <w:tcW w:w="1134" w:type="dxa"/>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1,25%</w:t>
            </w:r>
          </w:p>
        </w:tc>
        <w:tc>
          <w:tcPr>
            <w:tcW w:w="1276" w:type="dxa"/>
            <w:vAlign w:val="bottom"/>
          </w:tcPr>
          <w:p w:rsidR="00E86EB7" w:rsidRPr="007F1538" w:rsidRDefault="00E86EB7" w:rsidP="00587B6A">
            <w:pPr>
              <w:jc w:val="center"/>
              <w:rPr>
                <w:rFonts w:cs="Arial"/>
                <w:lang w:val="fr-FR" w:eastAsia="en-US"/>
              </w:rPr>
            </w:pPr>
            <w:r w:rsidRPr="007F1538">
              <w:rPr>
                <w:rFonts w:cs="Arial"/>
                <w:lang w:val="fr-FR" w:eastAsia="en-US"/>
              </w:rPr>
              <w:t>1,1%</w:t>
            </w:r>
          </w:p>
        </w:tc>
        <w:tc>
          <w:tcPr>
            <w:tcW w:w="1134" w:type="dxa"/>
            <w:shd w:val="clear" w:color="auto" w:fill="auto"/>
            <w:noWrap/>
            <w:vAlign w:val="bottom"/>
          </w:tcPr>
          <w:p w:rsidR="00E86EB7" w:rsidRPr="007F1538" w:rsidRDefault="00EB4305" w:rsidP="00AD750B">
            <w:pPr>
              <w:jc w:val="center"/>
              <w:rPr>
                <w:rFonts w:cs="Arial"/>
                <w:lang w:val="fr-FR" w:eastAsia="en-US"/>
              </w:rPr>
            </w:pPr>
            <w:r w:rsidRPr="007F1538">
              <w:rPr>
                <w:rFonts w:cs="Arial"/>
                <w:lang w:val="fr-FR" w:eastAsia="en-US"/>
              </w:rPr>
              <w:t>1,02</w:t>
            </w:r>
            <w:r w:rsidR="00E86EB7" w:rsidRPr="007F1538">
              <w:rPr>
                <w:rFonts w:cs="Arial"/>
                <w:lang w:val="fr-FR" w:eastAsia="en-US"/>
              </w:rPr>
              <w:t>%</w:t>
            </w:r>
          </w:p>
        </w:tc>
        <w:tc>
          <w:tcPr>
            <w:tcW w:w="1275" w:type="dxa"/>
            <w:vAlign w:val="bottom"/>
          </w:tcPr>
          <w:p w:rsidR="00E86EB7" w:rsidRPr="007F1538" w:rsidRDefault="00E86EB7" w:rsidP="00587B6A">
            <w:pPr>
              <w:jc w:val="center"/>
              <w:rPr>
                <w:rFonts w:cs="Arial"/>
                <w:lang w:val="fr-FR" w:eastAsia="en-US"/>
              </w:rPr>
            </w:pPr>
            <w:r w:rsidRPr="007F1538">
              <w:rPr>
                <w:rFonts w:cs="Arial"/>
                <w:lang w:val="fr-FR" w:eastAsia="en-US"/>
              </w:rPr>
              <w:t>0,82%</w:t>
            </w:r>
          </w:p>
        </w:tc>
      </w:tr>
      <w:tr w:rsidR="00E86EB7" w:rsidRPr="007F1538" w:rsidTr="007F1538">
        <w:tc>
          <w:tcPr>
            <w:tcW w:w="1994" w:type="dxa"/>
            <w:gridSpan w:val="2"/>
            <w:tcBorders>
              <w:bottom w:val="single" w:sz="4" w:space="0" w:color="auto"/>
            </w:tcBorders>
            <w:shd w:val="clear" w:color="auto" w:fill="auto"/>
            <w:noWrap/>
            <w:vAlign w:val="bottom"/>
          </w:tcPr>
          <w:p w:rsidR="00E86EB7" w:rsidRPr="007F1538" w:rsidRDefault="007F1538" w:rsidP="00690B4E">
            <w:pPr>
              <w:jc w:val="center"/>
              <w:rPr>
                <w:rFonts w:cs="Arial"/>
                <w:lang w:val="fr-FR" w:eastAsia="en-US"/>
              </w:rPr>
            </w:pPr>
            <w:r w:rsidRPr="007F1538">
              <w:rPr>
                <w:rFonts w:cs="Arial"/>
                <w:lang w:val="fr-FR" w:eastAsia="en-US"/>
              </w:rPr>
              <w:t>Ensemble de l’économie</w:t>
            </w:r>
          </w:p>
        </w:tc>
        <w:tc>
          <w:tcPr>
            <w:tcW w:w="1139" w:type="dxa"/>
            <w:tcBorders>
              <w:bottom w:val="single" w:sz="4" w:space="0" w:color="auto"/>
            </w:tcBorders>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32,6%</w:t>
            </w:r>
          </w:p>
        </w:tc>
        <w:tc>
          <w:tcPr>
            <w:tcW w:w="1134" w:type="dxa"/>
            <w:gridSpan w:val="2"/>
            <w:tcBorders>
              <w:bottom w:val="single" w:sz="4" w:space="0" w:color="auto"/>
            </w:tcBorders>
            <w:vAlign w:val="bottom"/>
          </w:tcPr>
          <w:p w:rsidR="00E86EB7" w:rsidRPr="007F1538" w:rsidRDefault="00E86EB7" w:rsidP="00587B6A">
            <w:pPr>
              <w:jc w:val="center"/>
              <w:rPr>
                <w:rFonts w:cs="Arial"/>
                <w:lang w:val="fr-FR" w:eastAsia="en-US"/>
              </w:rPr>
            </w:pPr>
            <w:r w:rsidRPr="007F1538">
              <w:rPr>
                <w:rFonts w:cs="Arial"/>
                <w:lang w:val="fr-FR" w:eastAsia="en-US"/>
              </w:rPr>
              <w:t>31,4%</w:t>
            </w:r>
          </w:p>
        </w:tc>
        <w:tc>
          <w:tcPr>
            <w:tcW w:w="1134" w:type="dxa"/>
            <w:tcBorders>
              <w:bottom w:val="single" w:sz="4" w:space="0" w:color="auto"/>
            </w:tcBorders>
            <w:shd w:val="clear" w:color="auto" w:fill="auto"/>
            <w:noWrap/>
            <w:vAlign w:val="bottom"/>
          </w:tcPr>
          <w:p w:rsidR="00E86EB7" w:rsidRPr="007F1538" w:rsidRDefault="00E86EB7" w:rsidP="00AD750B">
            <w:pPr>
              <w:jc w:val="center"/>
              <w:rPr>
                <w:rFonts w:cs="Arial"/>
                <w:lang w:val="fr-FR" w:eastAsia="en-US"/>
              </w:rPr>
            </w:pPr>
            <w:r w:rsidRPr="007F1538">
              <w:rPr>
                <w:rFonts w:cs="Arial"/>
                <w:lang w:val="fr-FR" w:eastAsia="en-US"/>
              </w:rPr>
              <w:t>1,13%</w:t>
            </w:r>
          </w:p>
        </w:tc>
        <w:tc>
          <w:tcPr>
            <w:tcW w:w="1276" w:type="dxa"/>
            <w:tcBorders>
              <w:bottom w:val="single" w:sz="4" w:space="0" w:color="auto"/>
            </w:tcBorders>
            <w:vAlign w:val="bottom"/>
          </w:tcPr>
          <w:p w:rsidR="00E86EB7" w:rsidRPr="007F1538" w:rsidRDefault="00E86EB7" w:rsidP="00587B6A">
            <w:pPr>
              <w:jc w:val="center"/>
              <w:rPr>
                <w:rFonts w:cs="Arial"/>
                <w:lang w:val="fr-FR" w:eastAsia="en-US"/>
              </w:rPr>
            </w:pPr>
            <w:r w:rsidRPr="007F1538">
              <w:rPr>
                <w:rFonts w:cs="Arial"/>
                <w:lang w:val="fr-FR" w:eastAsia="en-US"/>
              </w:rPr>
              <w:t>1,15%</w:t>
            </w:r>
          </w:p>
        </w:tc>
        <w:tc>
          <w:tcPr>
            <w:tcW w:w="1134" w:type="dxa"/>
            <w:tcBorders>
              <w:bottom w:val="single" w:sz="4" w:space="0" w:color="auto"/>
            </w:tcBorders>
            <w:shd w:val="clear" w:color="auto" w:fill="auto"/>
            <w:noWrap/>
            <w:vAlign w:val="bottom"/>
          </w:tcPr>
          <w:p w:rsidR="00E86EB7" w:rsidRPr="007F1538" w:rsidRDefault="00EB4305" w:rsidP="00AD750B">
            <w:pPr>
              <w:jc w:val="center"/>
              <w:rPr>
                <w:rFonts w:cs="Arial"/>
                <w:lang w:val="fr-FR" w:eastAsia="en-US"/>
              </w:rPr>
            </w:pPr>
            <w:r w:rsidRPr="007F1538">
              <w:rPr>
                <w:rFonts w:cs="Arial"/>
                <w:lang w:val="fr-FR" w:eastAsia="en-US"/>
              </w:rPr>
              <w:t>0,77</w:t>
            </w:r>
            <w:r w:rsidR="00E86EB7" w:rsidRPr="007F1538">
              <w:rPr>
                <w:rFonts w:cs="Arial"/>
                <w:lang w:val="fr-FR" w:eastAsia="en-US"/>
              </w:rPr>
              <w:t>%</w:t>
            </w:r>
          </w:p>
        </w:tc>
        <w:tc>
          <w:tcPr>
            <w:tcW w:w="1275" w:type="dxa"/>
            <w:tcBorders>
              <w:bottom w:val="single" w:sz="4" w:space="0" w:color="auto"/>
            </w:tcBorders>
            <w:vAlign w:val="bottom"/>
          </w:tcPr>
          <w:p w:rsidR="00E86EB7" w:rsidRPr="007F1538" w:rsidRDefault="00E86EB7" w:rsidP="00587B6A">
            <w:pPr>
              <w:jc w:val="center"/>
              <w:rPr>
                <w:rFonts w:cs="Arial"/>
                <w:lang w:val="fr-FR" w:eastAsia="en-US"/>
              </w:rPr>
            </w:pPr>
            <w:r w:rsidRPr="007F1538">
              <w:rPr>
                <w:rFonts w:cs="Arial"/>
                <w:lang w:val="fr-FR" w:eastAsia="en-US"/>
              </w:rPr>
              <w:t>0,76%</w:t>
            </w:r>
          </w:p>
        </w:tc>
      </w:tr>
      <w:tr w:rsidR="00E86EB7" w:rsidRPr="007B0288" w:rsidTr="007F1538">
        <w:tc>
          <w:tcPr>
            <w:tcW w:w="1784" w:type="dxa"/>
            <w:tcBorders>
              <w:top w:val="single" w:sz="4" w:space="0" w:color="auto"/>
              <w:left w:val="nil"/>
              <w:bottom w:val="nil"/>
              <w:right w:val="nil"/>
            </w:tcBorders>
          </w:tcPr>
          <w:p w:rsidR="00B84015" w:rsidRPr="007F1538" w:rsidRDefault="00B84015" w:rsidP="00AD750B">
            <w:pPr>
              <w:rPr>
                <w:rFonts w:cs="Arial"/>
                <w:sz w:val="18"/>
                <w:szCs w:val="18"/>
                <w:lang w:val="fr-FR" w:eastAsia="en-US"/>
              </w:rPr>
            </w:pPr>
          </w:p>
        </w:tc>
        <w:tc>
          <w:tcPr>
            <w:tcW w:w="1618" w:type="dxa"/>
            <w:gridSpan w:val="3"/>
            <w:tcBorders>
              <w:top w:val="single" w:sz="4" w:space="0" w:color="auto"/>
              <w:left w:val="nil"/>
              <w:bottom w:val="nil"/>
              <w:right w:val="nil"/>
            </w:tcBorders>
          </w:tcPr>
          <w:p w:rsidR="00E86EB7" w:rsidRPr="007F1538" w:rsidRDefault="00E86EB7" w:rsidP="00AD750B">
            <w:pPr>
              <w:rPr>
                <w:rFonts w:cs="Arial"/>
                <w:sz w:val="18"/>
                <w:szCs w:val="18"/>
                <w:lang w:val="fr-FR" w:eastAsia="en-US"/>
              </w:rPr>
            </w:pPr>
          </w:p>
        </w:tc>
        <w:tc>
          <w:tcPr>
            <w:tcW w:w="4409" w:type="dxa"/>
            <w:gridSpan w:val="4"/>
            <w:tcBorders>
              <w:top w:val="single" w:sz="4" w:space="0" w:color="auto"/>
              <w:left w:val="nil"/>
              <w:bottom w:val="nil"/>
              <w:right w:val="nil"/>
            </w:tcBorders>
            <w:shd w:val="clear" w:color="auto" w:fill="auto"/>
            <w:noWrap/>
            <w:vAlign w:val="bottom"/>
          </w:tcPr>
          <w:p w:rsidR="00E86EB7" w:rsidRPr="007F1538" w:rsidRDefault="007F1538" w:rsidP="00690B4E">
            <w:pPr>
              <w:rPr>
                <w:rFonts w:cs="Arial"/>
                <w:sz w:val="18"/>
                <w:szCs w:val="18"/>
                <w:lang w:val="fr-FR" w:eastAsia="en-US"/>
              </w:rPr>
            </w:pPr>
            <w:r w:rsidRPr="007F1538">
              <w:rPr>
                <w:rFonts w:cs="Arial"/>
                <w:sz w:val="18"/>
                <w:szCs w:val="18"/>
                <w:lang w:val="fr-FR" w:eastAsia="en-US"/>
              </w:rPr>
              <w:t>Source :</w:t>
            </w:r>
            <w:r w:rsidR="00E86EB7" w:rsidRPr="007F1538">
              <w:rPr>
                <w:rFonts w:cs="Arial"/>
                <w:sz w:val="18"/>
                <w:szCs w:val="18"/>
                <w:lang w:val="fr-FR" w:eastAsia="en-US"/>
              </w:rPr>
              <w:t xml:space="preserve"> </w:t>
            </w:r>
            <w:r w:rsidRPr="007F1538">
              <w:rPr>
                <w:rFonts w:cs="Arial"/>
                <w:sz w:val="18"/>
                <w:szCs w:val="18"/>
                <w:lang w:val="fr-FR" w:eastAsia="en-US"/>
              </w:rPr>
              <w:t>CCE sur la base du bilan social</w:t>
            </w:r>
          </w:p>
        </w:tc>
        <w:tc>
          <w:tcPr>
            <w:tcW w:w="1275" w:type="dxa"/>
            <w:tcBorders>
              <w:top w:val="single" w:sz="4" w:space="0" w:color="auto"/>
              <w:left w:val="nil"/>
              <w:bottom w:val="nil"/>
              <w:right w:val="nil"/>
            </w:tcBorders>
          </w:tcPr>
          <w:p w:rsidR="00E86EB7" w:rsidRPr="007F1538" w:rsidRDefault="00E86EB7" w:rsidP="00AD750B">
            <w:pPr>
              <w:rPr>
                <w:rFonts w:cs="Arial"/>
                <w:sz w:val="18"/>
                <w:szCs w:val="18"/>
                <w:lang w:val="fr-FR" w:eastAsia="en-US"/>
              </w:rPr>
            </w:pPr>
          </w:p>
        </w:tc>
      </w:tr>
    </w:tbl>
    <w:p w:rsidR="00213DBA" w:rsidRPr="007F1538" w:rsidRDefault="00213DBA" w:rsidP="00213DBA">
      <w:pPr>
        <w:rPr>
          <w:b/>
          <w:szCs w:val="24"/>
          <w:lang w:val="fr-FR" w:eastAsia="nl-BE"/>
        </w:rPr>
      </w:pPr>
    </w:p>
    <w:p w:rsidR="00B84015" w:rsidRPr="007F1538" w:rsidRDefault="007F1538" w:rsidP="00213DBA">
      <w:pPr>
        <w:rPr>
          <w:szCs w:val="24"/>
          <w:lang w:val="fr-FR" w:eastAsia="nl-BE"/>
        </w:rPr>
      </w:pPr>
      <w:r w:rsidRPr="007F1538">
        <w:rPr>
          <w:szCs w:val="24"/>
          <w:lang w:val="fr-FR" w:eastAsia="nl-BE"/>
        </w:rPr>
        <w:t>Le tableau 3 compare les efforts dans le domaine de l’apprentissage formel et non formel.</w:t>
      </w:r>
    </w:p>
    <w:p w:rsidR="00B84015" w:rsidRPr="007F1538" w:rsidRDefault="00B84015" w:rsidP="00213DBA">
      <w:pPr>
        <w:rPr>
          <w:b/>
          <w:szCs w:val="24"/>
          <w:lang w:val="fr-FR" w:eastAsia="nl-BE"/>
        </w:rPr>
      </w:pPr>
    </w:p>
    <w:p w:rsidR="00C51586" w:rsidRPr="007F1538" w:rsidRDefault="007F1538" w:rsidP="00213DBA">
      <w:pPr>
        <w:rPr>
          <w:b/>
          <w:szCs w:val="24"/>
          <w:lang w:val="fr-FR" w:eastAsia="nl-BE"/>
        </w:rPr>
      </w:pPr>
      <w:r w:rsidRPr="007F1538">
        <w:rPr>
          <w:b/>
          <w:szCs w:val="24"/>
          <w:lang w:val="fr-FR" w:eastAsia="nl-BE"/>
        </w:rPr>
        <w:t>Tableau 3 : Efforts formels et non formels de formation par rapport à d’autres secteurs en 2008</w:t>
      </w:r>
    </w:p>
    <w:p w:rsidR="006D4116" w:rsidRPr="007F1538" w:rsidRDefault="006D4116" w:rsidP="00213DBA">
      <w:pPr>
        <w:rPr>
          <w:b/>
          <w:szCs w:val="24"/>
          <w:lang w:val="fr-FR" w:eastAsia="nl-BE"/>
        </w:rPr>
      </w:pPr>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4"/>
        <w:gridCol w:w="210"/>
        <w:gridCol w:w="855"/>
        <w:gridCol w:w="1418"/>
        <w:gridCol w:w="2410"/>
        <w:gridCol w:w="141"/>
        <w:gridCol w:w="2268"/>
      </w:tblGrid>
      <w:tr w:rsidR="00B84015" w:rsidRPr="007B0288" w:rsidTr="007F1538">
        <w:tc>
          <w:tcPr>
            <w:tcW w:w="1994" w:type="dxa"/>
            <w:gridSpan w:val="2"/>
            <w:shd w:val="clear" w:color="auto" w:fill="auto"/>
            <w:noWrap/>
          </w:tcPr>
          <w:p w:rsidR="00B84015" w:rsidRPr="007F1538" w:rsidRDefault="00B84015" w:rsidP="00511004">
            <w:pPr>
              <w:jc w:val="center"/>
              <w:rPr>
                <w:rFonts w:cs="Arial"/>
                <w:lang w:val="fr-FR" w:eastAsia="en-US"/>
              </w:rPr>
            </w:pPr>
          </w:p>
        </w:tc>
        <w:tc>
          <w:tcPr>
            <w:tcW w:w="2273" w:type="dxa"/>
            <w:gridSpan w:val="2"/>
            <w:shd w:val="clear" w:color="auto" w:fill="auto"/>
            <w:noWrap/>
          </w:tcPr>
          <w:p w:rsidR="00B84015" w:rsidRPr="007F1538" w:rsidRDefault="007F1538" w:rsidP="00690B4E">
            <w:pPr>
              <w:jc w:val="center"/>
              <w:rPr>
                <w:rFonts w:cs="Arial"/>
                <w:lang w:val="fr-FR" w:eastAsia="en-US"/>
              </w:rPr>
            </w:pPr>
            <w:r w:rsidRPr="007F1538">
              <w:rPr>
                <w:rFonts w:cs="Arial"/>
                <w:lang w:val="fr-FR" w:eastAsia="en-US"/>
              </w:rPr>
              <w:t>Pourcentage de travailleurs qui ont suivi une formation</w:t>
            </w:r>
          </w:p>
        </w:tc>
        <w:tc>
          <w:tcPr>
            <w:tcW w:w="2410" w:type="dxa"/>
            <w:shd w:val="clear" w:color="auto" w:fill="auto"/>
            <w:noWrap/>
          </w:tcPr>
          <w:p w:rsidR="00B84015" w:rsidRPr="007F1538" w:rsidRDefault="007F1538" w:rsidP="00690B4E">
            <w:pPr>
              <w:jc w:val="center"/>
              <w:rPr>
                <w:rFonts w:cs="Arial"/>
                <w:lang w:val="fr-FR" w:eastAsia="en-US"/>
              </w:rPr>
            </w:pPr>
            <w:r w:rsidRPr="007F1538">
              <w:rPr>
                <w:rFonts w:cs="Arial"/>
                <w:lang w:val="fr-FR" w:eastAsia="en-US"/>
              </w:rPr>
              <w:t>Pourcentage des frais de formation par rapport aux coûts totaux en personnel</w:t>
            </w:r>
          </w:p>
        </w:tc>
        <w:tc>
          <w:tcPr>
            <w:tcW w:w="2409" w:type="dxa"/>
            <w:gridSpan w:val="2"/>
          </w:tcPr>
          <w:p w:rsidR="00B84015" w:rsidRPr="007F1538" w:rsidRDefault="007F1538" w:rsidP="00690B4E">
            <w:pPr>
              <w:jc w:val="center"/>
              <w:rPr>
                <w:rFonts w:cs="Arial"/>
                <w:lang w:val="fr-FR" w:eastAsia="en-US"/>
              </w:rPr>
            </w:pPr>
            <w:r w:rsidRPr="007F1538">
              <w:rPr>
                <w:rFonts w:cs="Arial"/>
                <w:lang w:val="fr-FR" w:eastAsia="en-US"/>
              </w:rPr>
              <w:t>Pourcentage des heures de formation par rapport aux heures de travail</w:t>
            </w:r>
          </w:p>
        </w:tc>
      </w:tr>
      <w:tr w:rsidR="00B84015" w:rsidRPr="007F1538" w:rsidTr="007F1538">
        <w:tc>
          <w:tcPr>
            <w:tcW w:w="1994" w:type="dxa"/>
            <w:gridSpan w:val="2"/>
            <w:shd w:val="clear" w:color="auto" w:fill="auto"/>
            <w:noWrap/>
            <w:vAlign w:val="bottom"/>
          </w:tcPr>
          <w:p w:rsidR="00B84015" w:rsidRPr="007F1538" w:rsidRDefault="007F1538" w:rsidP="00690B4E">
            <w:pPr>
              <w:jc w:val="center"/>
              <w:rPr>
                <w:rFonts w:cs="Arial"/>
                <w:lang w:val="fr-FR" w:eastAsia="en-US"/>
              </w:rPr>
            </w:pPr>
            <w:r w:rsidRPr="007F1538">
              <w:rPr>
                <w:rFonts w:cs="Arial"/>
                <w:lang w:val="fr-FR" w:eastAsia="en-US"/>
              </w:rPr>
              <w:t>Industrie alimentaire</w:t>
            </w:r>
          </w:p>
        </w:tc>
        <w:tc>
          <w:tcPr>
            <w:tcW w:w="2273" w:type="dxa"/>
            <w:gridSpan w:val="2"/>
            <w:shd w:val="clear" w:color="auto" w:fill="auto"/>
            <w:noWrap/>
            <w:vAlign w:val="bottom"/>
          </w:tcPr>
          <w:p w:rsidR="00B84015" w:rsidRPr="007F1538" w:rsidRDefault="00B84015" w:rsidP="00511004">
            <w:pPr>
              <w:jc w:val="center"/>
              <w:rPr>
                <w:rFonts w:cs="Arial"/>
                <w:lang w:val="fr-FR" w:eastAsia="en-US"/>
              </w:rPr>
            </w:pPr>
            <w:r w:rsidRPr="007F1538">
              <w:rPr>
                <w:rFonts w:cs="Arial"/>
                <w:lang w:val="fr-FR" w:eastAsia="en-US"/>
              </w:rPr>
              <w:t>14,10%</w:t>
            </w:r>
          </w:p>
        </w:tc>
        <w:tc>
          <w:tcPr>
            <w:tcW w:w="2410" w:type="dxa"/>
            <w:shd w:val="clear" w:color="auto" w:fill="auto"/>
            <w:noWrap/>
            <w:vAlign w:val="bottom"/>
          </w:tcPr>
          <w:p w:rsidR="00B84015" w:rsidRPr="007F1538" w:rsidRDefault="00B84015" w:rsidP="00511004">
            <w:pPr>
              <w:jc w:val="center"/>
              <w:rPr>
                <w:rFonts w:cs="Arial"/>
                <w:lang w:val="fr-FR" w:eastAsia="en-US"/>
              </w:rPr>
            </w:pPr>
            <w:r w:rsidRPr="007F1538">
              <w:rPr>
                <w:rFonts w:cs="Arial"/>
                <w:lang w:val="fr-FR" w:eastAsia="en-US"/>
              </w:rPr>
              <w:t>0,27%</w:t>
            </w:r>
          </w:p>
        </w:tc>
        <w:tc>
          <w:tcPr>
            <w:tcW w:w="2409" w:type="dxa"/>
            <w:gridSpan w:val="2"/>
            <w:vAlign w:val="bottom"/>
          </w:tcPr>
          <w:p w:rsidR="00B84015" w:rsidRPr="007F1538" w:rsidRDefault="00B84015" w:rsidP="00511004">
            <w:pPr>
              <w:jc w:val="center"/>
              <w:rPr>
                <w:rFonts w:cs="Arial"/>
                <w:lang w:val="fr-FR" w:eastAsia="en-US"/>
              </w:rPr>
            </w:pPr>
            <w:r w:rsidRPr="007F1538">
              <w:rPr>
                <w:rFonts w:cs="Arial"/>
                <w:lang w:val="fr-FR" w:eastAsia="en-US"/>
              </w:rPr>
              <w:t>0,28%</w:t>
            </w:r>
          </w:p>
        </w:tc>
      </w:tr>
      <w:tr w:rsidR="00B84015" w:rsidRPr="007F1538" w:rsidTr="007F1538">
        <w:tc>
          <w:tcPr>
            <w:tcW w:w="1994" w:type="dxa"/>
            <w:gridSpan w:val="2"/>
            <w:shd w:val="clear" w:color="auto" w:fill="auto"/>
            <w:noWrap/>
            <w:vAlign w:val="bottom"/>
          </w:tcPr>
          <w:p w:rsidR="00B84015" w:rsidRPr="007F1538" w:rsidRDefault="007F1538" w:rsidP="00690B4E">
            <w:pPr>
              <w:jc w:val="center"/>
              <w:rPr>
                <w:rFonts w:cs="Arial"/>
                <w:lang w:val="fr-FR" w:eastAsia="en-US"/>
              </w:rPr>
            </w:pPr>
            <w:r w:rsidRPr="007F1538">
              <w:rPr>
                <w:rFonts w:cs="Arial"/>
                <w:lang w:val="fr-FR" w:eastAsia="en-US"/>
              </w:rPr>
              <w:t>Industrie</w:t>
            </w:r>
          </w:p>
        </w:tc>
        <w:tc>
          <w:tcPr>
            <w:tcW w:w="2273" w:type="dxa"/>
            <w:gridSpan w:val="2"/>
            <w:shd w:val="clear" w:color="auto" w:fill="auto"/>
            <w:noWrap/>
            <w:vAlign w:val="bottom"/>
          </w:tcPr>
          <w:p w:rsidR="00B84015" w:rsidRPr="007F1538" w:rsidRDefault="00B84015" w:rsidP="00511004">
            <w:pPr>
              <w:jc w:val="center"/>
              <w:rPr>
                <w:rFonts w:cs="Arial"/>
                <w:lang w:val="fr-FR" w:eastAsia="en-US"/>
              </w:rPr>
            </w:pPr>
            <w:r w:rsidRPr="007F1538">
              <w:rPr>
                <w:rFonts w:cs="Arial"/>
                <w:lang w:val="fr-FR" w:eastAsia="en-US"/>
              </w:rPr>
              <w:t>16,6%</w:t>
            </w:r>
          </w:p>
        </w:tc>
        <w:tc>
          <w:tcPr>
            <w:tcW w:w="2410" w:type="dxa"/>
            <w:shd w:val="clear" w:color="auto" w:fill="auto"/>
            <w:noWrap/>
            <w:vAlign w:val="bottom"/>
          </w:tcPr>
          <w:p w:rsidR="00B84015" w:rsidRPr="007F1538" w:rsidRDefault="00B84015" w:rsidP="00511004">
            <w:pPr>
              <w:jc w:val="center"/>
              <w:rPr>
                <w:rFonts w:cs="Arial"/>
                <w:lang w:val="fr-FR" w:eastAsia="en-US"/>
              </w:rPr>
            </w:pPr>
            <w:r w:rsidRPr="007F1538">
              <w:rPr>
                <w:rFonts w:cs="Arial"/>
                <w:lang w:val="fr-FR" w:eastAsia="en-US"/>
              </w:rPr>
              <w:t>0,52%</w:t>
            </w:r>
          </w:p>
        </w:tc>
        <w:tc>
          <w:tcPr>
            <w:tcW w:w="2409" w:type="dxa"/>
            <w:gridSpan w:val="2"/>
            <w:vAlign w:val="bottom"/>
          </w:tcPr>
          <w:p w:rsidR="00B84015" w:rsidRPr="007F1538" w:rsidRDefault="00B84015" w:rsidP="00511004">
            <w:pPr>
              <w:jc w:val="center"/>
              <w:rPr>
                <w:rFonts w:cs="Arial"/>
                <w:lang w:val="fr-FR" w:eastAsia="en-US"/>
              </w:rPr>
            </w:pPr>
            <w:r w:rsidRPr="007F1538">
              <w:rPr>
                <w:rFonts w:cs="Arial"/>
                <w:lang w:val="fr-FR" w:eastAsia="en-US"/>
              </w:rPr>
              <w:t>0,50%</w:t>
            </w:r>
          </w:p>
        </w:tc>
      </w:tr>
      <w:tr w:rsidR="00B84015" w:rsidRPr="007F1538" w:rsidTr="007F1538">
        <w:tc>
          <w:tcPr>
            <w:tcW w:w="1994" w:type="dxa"/>
            <w:gridSpan w:val="2"/>
            <w:tcBorders>
              <w:bottom w:val="single" w:sz="4" w:space="0" w:color="auto"/>
            </w:tcBorders>
            <w:shd w:val="clear" w:color="auto" w:fill="auto"/>
            <w:noWrap/>
            <w:vAlign w:val="bottom"/>
          </w:tcPr>
          <w:p w:rsidR="00B84015" w:rsidRPr="007F1538" w:rsidRDefault="007F1538" w:rsidP="00690B4E">
            <w:pPr>
              <w:jc w:val="center"/>
              <w:rPr>
                <w:rFonts w:cs="Arial"/>
                <w:lang w:val="fr-FR" w:eastAsia="en-US"/>
              </w:rPr>
            </w:pPr>
            <w:r w:rsidRPr="007F1538">
              <w:rPr>
                <w:rFonts w:cs="Arial"/>
                <w:lang w:val="fr-FR" w:eastAsia="en-US"/>
              </w:rPr>
              <w:t>Ensemble de l’économie</w:t>
            </w:r>
          </w:p>
        </w:tc>
        <w:tc>
          <w:tcPr>
            <w:tcW w:w="2273" w:type="dxa"/>
            <w:gridSpan w:val="2"/>
            <w:tcBorders>
              <w:bottom w:val="single" w:sz="4" w:space="0" w:color="auto"/>
            </w:tcBorders>
            <w:shd w:val="clear" w:color="auto" w:fill="auto"/>
            <w:noWrap/>
            <w:vAlign w:val="bottom"/>
          </w:tcPr>
          <w:p w:rsidR="00B84015" w:rsidRPr="007F1538" w:rsidRDefault="00B84015" w:rsidP="00511004">
            <w:pPr>
              <w:jc w:val="center"/>
              <w:rPr>
                <w:rFonts w:cs="Arial"/>
                <w:lang w:val="fr-FR" w:eastAsia="en-US"/>
              </w:rPr>
            </w:pPr>
            <w:r w:rsidRPr="007F1538">
              <w:rPr>
                <w:rFonts w:cs="Arial"/>
                <w:lang w:val="fr-FR" w:eastAsia="en-US"/>
              </w:rPr>
              <w:t>15,0%</w:t>
            </w:r>
          </w:p>
        </w:tc>
        <w:tc>
          <w:tcPr>
            <w:tcW w:w="2410" w:type="dxa"/>
            <w:tcBorders>
              <w:bottom w:val="single" w:sz="4" w:space="0" w:color="auto"/>
            </w:tcBorders>
            <w:shd w:val="clear" w:color="auto" w:fill="auto"/>
            <w:noWrap/>
            <w:vAlign w:val="bottom"/>
          </w:tcPr>
          <w:p w:rsidR="00B84015" w:rsidRPr="007F1538" w:rsidRDefault="00B84015" w:rsidP="00511004">
            <w:pPr>
              <w:jc w:val="center"/>
              <w:rPr>
                <w:rFonts w:cs="Arial"/>
                <w:lang w:val="fr-FR" w:eastAsia="en-US"/>
              </w:rPr>
            </w:pPr>
            <w:r w:rsidRPr="007F1538">
              <w:rPr>
                <w:rFonts w:cs="Arial"/>
                <w:lang w:val="fr-FR" w:eastAsia="en-US"/>
              </w:rPr>
              <w:t>0,40%</w:t>
            </w:r>
          </w:p>
        </w:tc>
        <w:tc>
          <w:tcPr>
            <w:tcW w:w="2409" w:type="dxa"/>
            <w:gridSpan w:val="2"/>
            <w:tcBorders>
              <w:bottom w:val="single" w:sz="4" w:space="0" w:color="auto"/>
            </w:tcBorders>
            <w:vAlign w:val="bottom"/>
          </w:tcPr>
          <w:p w:rsidR="00B84015" w:rsidRPr="007F1538" w:rsidRDefault="00B84015" w:rsidP="00511004">
            <w:pPr>
              <w:jc w:val="center"/>
              <w:rPr>
                <w:rFonts w:cs="Arial"/>
                <w:lang w:val="fr-FR" w:eastAsia="en-US"/>
              </w:rPr>
            </w:pPr>
            <w:r w:rsidRPr="007F1538">
              <w:rPr>
                <w:rFonts w:cs="Arial"/>
                <w:lang w:val="fr-FR" w:eastAsia="en-US"/>
              </w:rPr>
              <w:t>0,32%</w:t>
            </w:r>
          </w:p>
        </w:tc>
      </w:tr>
      <w:tr w:rsidR="00B84015" w:rsidRPr="007B0288" w:rsidTr="007F1538">
        <w:trPr>
          <w:gridAfter w:val="1"/>
          <w:wAfter w:w="2268" w:type="dxa"/>
        </w:trPr>
        <w:tc>
          <w:tcPr>
            <w:tcW w:w="1784" w:type="dxa"/>
            <w:tcBorders>
              <w:top w:val="single" w:sz="4" w:space="0" w:color="auto"/>
              <w:left w:val="nil"/>
              <w:bottom w:val="nil"/>
              <w:right w:val="nil"/>
            </w:tcBorders>
          </w:tcPr>
          <w:p w:rsidR="00B84015" w:rsidRPr="007F1538" w:rsidRDefault="00B84015" w:rsidP="00511004">
            <w:pPr>
              <w:rPr>
                <w:rFonts w:cs="Arial"/>
                <w:sz w:val="18"/>
                <w:szCs w:val="18"/>
                <w:lang w:val="fr-FR" w:eastAsia="en-US"/>
              </w:rPr>
            </w:pPr>
          </w:p>
        </w:tc>
        <w:tc>
          <w:tcPr>
            <w:tcW w:w="1065" w:type="dxa"/>
            <w:gridSpan w:val="2"/>
            <w:tcBorders>
              <w:top w:val="single" w:sz="4" w:space="0" w:color="auto"/>
              <w:left w:val="nil"/>
              <w:bottom w:val="nil"/>
              <w:right w:val="nil"/>
            </w:tcBorders>
          </w:tcPr>
          <w:p w:rsidR="00B84015" w:rsidRPr="007F1538" w:rsidRDefault="00B84015" w:rsidP="00511004">
            <w:pPr>
              <w:rPr>
                <w:rFonts w:cs="Arial"/>
                <w:sz w:val="18"/>
                <w:szCs w:val="18"/>
                <w:lang w:val="fr-FR" w:eastAsia="en-US"/>
              </w:rPr>
            </w:pPr>
          </w:p>
        </w:tc>
        <w:tc>
          <w:tcPr>
            <w:tcW w:w="3969" w:type="dxa"/>
            <w:gridSpan w:val="3"/>
            <w:tcBorders>
              <w:top w:val="single" w:sz="4" w:space="0" w:color="auto"/>
              <w:left w:val="nil"/>
              <w:bottom w:val="nil"/>
              <w:right w:val="nil"/>
            </w:tcBorders>
          </w:tcPr>
          <w:p w:rsidR="00B84015" w:rsidRPr="007F1538" w:rsidRDefault="007F1538" w:rsidP="00690B4E">
            <w:pPr>
              <w:rPr>
                <w:rFonts w:cs="Arial"/>
                <w:sz w:val="18"/>
                <w:szCs w:val="18"/>
                <w:lang w:val="fr-FR" w:eastAsia="en-US"/>
              </w:rPr>
            </w:pPr>
            <w:r w:rsidRPr="007F1538">
              <w:rPr>
                <w:rFonts w:cs="Arial"/>
                <w:sz w:val="18"/>
                <w:szCs w:val="18"/>
                <w:lang w:val="fr-FR" w:eastAsia="en-US"/>
              </w:rPr>
              <w:t>Source :</w:t>
            </w:r>
            <w:r w:rsidR="00B84015" w:rsidRPr="007F1538">
              <w:rPr>
                <w:rFonts w:cs="Arial"/>
                <w:sz w:val="18"/>
                <w:szCs w:val="18"/>
                <w:lang w:val="fr-FR" w:eastAsia="en-US"/>
              </w:rPr>
              <w:t xml:space="preserve"> </w:t>
            </w:r>
            <w:r w:rsidRPr="007F1538">
              <w:rPr>
                <w:rFonts w:cs="Arial"/>
                <w:sz w:val="18"/>
                <w:szCs w:val="18"/>
                <w:lang w:val="fr-FR" w:eastAsia="en-US"/>
              </w:rPr>
              <w:t>CCE sur la base du bilan social</w:t>
            </w:r>
          </w:p>
        </w:tc>
      </w:tr>
    </w:tbl>
    <w:p w:rsidR="009F4B5E" w:rsidRPr="007F1538" w:rsidRDefault="009F4B5E" w:rsidP="00213DBA">
      <w:pPr>
        <w:rPr>
          <w:b/>
          <w:szCs w:val="24"/>
          <w:highlight w:val="yellow"/>
          <w:lang w:val="fr-FR" w:eastAsia="nl-BE"/>
        </w:rPr>
      </w:pPr>
    </w:p>
    <w:p w:rsidR="009F083D" w:rsidRPr="007F1538" w:rsidRDefault="007F1538" w:rsidP="007F1538">
      <w:pPr>
        <w:pStyle w:val="Heading2"/>
        <w:rPr>
          <w:lang w:val="fr-FR"/>
        </w:rPr>
      </w:pPr>
      <w:bookmarkStart w:id="13" w:name="_Toc267060119"/>
      <w:bookmarkStart w:id="14" w:name="_Toc269220673"/>
      <w:bookmarkEnd w:id="10"/>
      <w:r w:rsidRPr="007F1538">
        <w:rPr>
          <w:lang w:val="fr-FR"/>
        </w:rPr>
        <w:t>Efforts de formation dans le secteur dans les pays limitrophes</w:t>
      </w:r>
      <w:bookmarkEnd w:id="13"/>
      <w:bookmarkEnd w:id="14"/>
    </w:p>
    <w:p w:rsidR="0016343A" w:rsidRPr="007F1538" w:rsidRDefault="007F1538" w:rsidP="0016343A">
      <w:pPr>
        <w:rPr>
          <w:szCs w:val="24"/>
          <w:lang w:val="fr-FR" w:eastAsia="nl-BE"/>
        </w:rPr>
      </w:pPr>
      <w:r w:rsidRPr="007F1538">
        <w:rPr>
          <w:szCs w:val="24"/>
          <w:lang w:val="fr-FR" w:eastAsia="nl-BE"/>
        </w:rPr>
        <w:t>Selon les tout derniers chiffres disponibles (</w:t>
      </w:r>
      <w:r w:rsidRPr="007F1538">
        <w:rPr>
          <w:rFonts w:cs="Arial"/>
          <w:lang w:val="fr-FR" w:eastAsia="en-US"/>
        </w:rPr>
        <w:t>Continuous Vocational Training</w:t>
      </w:r>
      <w:r w:rsidRPr="007F1538">
        <w:rPr>
          <w:rFonts w:cs="Arial"/>
          <w:sz w:val="18"/>
          <w:szCs w:val="18"/>
          <w:lang w:val="fr-FR" w:eastAsia="en-US"/>
        </w:rPr>
        <w:t xml:space="preserve"> </w:t>
      </w:r>
      <w:r w:rsidRPr="007F1538">
        <w:rPr>
          <w:rFonts w:cs="Arial"/>
          <w:lang w:val="fr-FR" w:eastAsia="en-US"/>
        </w:rPr>
        <w:t>Survey</w:t>
      </w:r>
      <w:r w:rsidRPr="007F1538">
        <w:rPr>
          <w:rFonts w:cs="Arial"/>
          <w:sz w:val="18"/>
          <w:szCs w:val="18"/>
          <w:lang w:val="fr-FR" w:eastAsia="en-US"/>
        </w:rPr>
        <w:t xml:space="preserve"> – </w:t>
      </w:r>
      <w:r w:rsidRPr="007F1538">
        <w:rPr>
          <w:szCs w:val="24"/>
          <w:lang w:val="fr-FR" w:eastAsia="nl-BE"/>
        </w:rPr>
        <w:t>enquête CVTS 2005), un nombre beaucoup plus important de travailleurs en Belgique participent à des formations en comparaison avec la moyenne européenne.</w:t>
      </w:r>
      <w:r w:rsidR="00CC1247" w:rsidRPr="007F1538">
        <w:rPr>
          <w:szCs w:val="24"/>
          <w:lang w:val="fr-FR" w:eastAsia="nl-BE"/>
        </w:rPr>
        <w:t xml:space="preserve"> </w:t>
      </w:r>
      <w:r w:rsidRPr="007F1538">
        <w:rPr>
          <w:szCs w:val="24"/>
          <w:lang w:val="fr-FR" w:eastAsia="nl-BE"/>
        </w:rPr>
        <w:t>L’investissement financier est toutefois beaucoup plus bas.</w:t>
      </w:r>
      <w:r w:rsidR="00CC1247" w:rsidRPr="007F1538">
        <w:rPr>
          <w:szCs w:val="24"/>
          <w:lang w:val="fr-FR" w:eastAsia="nl-BE"/>
        </w:rPr>
        <w:t xml:space="preserve"> </w:t>
      </w:r>
      <w:r w:rsidRPr="007F1538">
        <w:rPr>
          <w:szCs w:val="24"/>
          <w:lang w:val="fr-FR" w:eastAsia="nl-BE"/>
        </w:rPr>
        <w:t>Cette situation s’explique par une durée plus courte des formations.</w:t>
      </w:r>
    </w:p>
    <w:p w:rsidR="005E0D3F" w:rsidRPr="007F1538" w:rsidRDefault="005E0D3F" w:rsidP="0016343A">
      <w:pPr>
        <w:rPr>
          <w:szCs w:val="24"/>
          <w:lang w:val="fr-FR" w:eastAsia="nl-BE"/>
        </w:rPr>
      </w:pPr>
    </w:p>
    <w:p w:rsidR="0016343A" w:rsidRPr="007F1538" w:rsidRDefault="007F1538" w:rsidP="0016343A">
      <w:pPr>
        <w:rPr>
          <w:szCs w:val="24"/>
          <w:lang w:val="fr-FR" w:eastAsia="nl-BE"/>
        </w:rPr>
      </w:pPr>
      <w:r w:rsidRPr="007F1538">
        <w:rPr>
          <w:szCs w:val="24"/>
          <w:lang w:val="fr-FR" w:eastAsia="nl-BE"/>
        </w:rPr>
        <w:t>Tableau 4 : Efforts de formation dans l’industrie alimentaire par rapport aux pays voisins en 2005</w:t>
      </w:r>
    </w:p>
    <w:p w:rsidR="009F083D" w:rsidRPr="007F1538" w:rsidRDefault="009F083D" w:rsidP="007F53D5">
      <w:pPr>
        <w:rPr>
          <w:szCs w:val="24"/>
          <w:lang w:val="fr-FR" w:eastAsia="nl-BE"/>
        </w:rPr>
      </w:pPr>
    </w:p>
    <w:tbl>
      <w:tblPr>
        <w:tblW w:w="81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4"/>
        <w:gridCol w:w="1260"/>
        <w:gridCol w:w="1209"/>
        <w:gridCol w:w="1097"/>
        <w:gridCol w:w="163"/>
        <w:gridCol w:w="1131"/>
      </w:tblGrid>
      <w:tr w:rsidR="00306705" w:rsidRPr="007F1538" w:rsidTr="007F1538">
        <w:tc>
          <w:tcPr>
            <w:tcW w:w="3254" w:type="dxa"/>
            <w:shd w:val="clear" w:color="auto" w:fill="auto"/>
            <w:noWrap/>
          </w:tcPr>
          <w:p w:rsidR="00306705" w:rsidRPr="007F1538" w:rsidRDefault="007F1538" w:rsidP="00690B4E">
            <w:pPr>
              <w:jc w:val="center"/>
              <w:rPr>
                <w:rFonts w:cs="Arial"/>
                <w:lang w:val="fr-FR" w:eastAsia="en-US"/>
              </w:rPr>
            </w:pPr>
            <w:r w:rsidRPr="007F1538">
              <w:rPr>
                <w:rFonts w:cs="Arial"/>
                <w:lang w:val="fr-FR" w:eastAsia="en-US"/>
              </w:rPr>
              <w:t>Indicateurs</w:t>
            </w:r>
          </w:p>
        </w:tc>
        <w:tc>
          <w:tcPr>
            <w:tcW w:w="1260" w:type="dxa"/>
            <w:shd w:val="clear" w:color="auto" w:fill="auto"/>
            <w:noWrap/>
          </w:tcPr>
          <w:p w:rsidR="00306705" w:rsidRPr="007F1538" w:rsidRDefault="007F1538" w:rsidP="00690B4E">
            <w:pPr>
              <w:jc w:val="center"/>
              <w:rPr>
                <w:rFonts w:cs="Arial"/>
                <w:lang w:val="fr-FR" w:eastAsia="en-US"/>
              </w:rPr>
            </w:pPr>
            <w:r w:rsidRPr="007F1538">
              <w:rPr>
                <w:rFonts w:cs="Arial"/>
                <w:lang w:val="fr-FR" w:eastAsia="en-US"/>
              </w:rPr>
              <w:t>Belgique</w:t>
            </w:r>
          </w:p>
        </w:tc>
        <w:tc>
          <w:tcPr>
            <w:tcW w:w="1209" w:type="dxa"/>
            <w:shd w:val="clear" w:color="auto" w:fill="auto"/>
            <w:noWrap/>
          </w:tcPr>
          <w:p w:rsidR="00306705" w:rsidRPr="007F1538" w:rsidRDefault="007F1538" w:rsidP="00690B4E">
            <w:pPr>
              <w:jc w:val="center"/>
              <w:rPr>
                <w:rFonts w:cs="Arial"/>
                <w:lang w:val="fr-FR" w:eastAsia="en-US"/>
              </w:rPr>
            </w:pPr>
            <w:r w:rsidRPr="007F1538">
              <w:rPr>
                <w:rFonts w:cs="Arial"/>
                <w:lang w:val="fr-FR" w:eastAsia="en-US"/>
              </w:rPr>
              <w:t>Allemagne</w:t>
            </w:r>
          </w:p>
        </w:tc>
        <w:tc>
          <w:tcPr>
            <w:tcW w:w="1097" w:type="dxa"/>
          </w:tcPr>
          <w:p w:rsidR="00306705" w:rsidRPr="007F1538" w:rsidRDefault="007F1538" w:rsidP="00690B4E">
            <w:pPr>
              <w:jc w:val="center"/>
              <w:rPr>
                <w:rFonts w:cs="Arial"/>
                <w:lang w:val="fr-FR" w:eastAsia="en-US"/>
              </w:rPr>
            </w:pPr>
            <w:r w:rsidRPr="007F1538">
              <w:rPr>
                <w:rFonts w:cs="Arial"/>
                <w:lang w:val="fr-FR" w:eastAsia="en-US"/>
              </w:rPr>
              <w:t>France</w:t>
            </w:r>
          </w:p>
        </w:tc>
        <w:tc>
          <w:tcPr>
            <w:tcW w:w="1294" w:type="dxa"/>
            <w:gridSpan w:val="2"/>
          </w:tcPr>
          <w:p w:rsidR="00306705" w:rsidRPr="007F1538" w:rsidRDefault="007F1538" w:rsidP="00690B4E">
            <w:pPr>
              <w:jc w:val="center"/>
              <w:rPr>
                <w:rFonts w:cs="Arial"/>
                <w:lang w:val="fr-FR" w:eastAsia="en-US"/>
              </w:rPr>
            </w:pPr>
            <w:r w:rsidRPr="007F1538">
              <w:rPr>
                <w:rFonts w:cs="Arial"/>
                <w:lang w:val="fr-FR" w:eastAsia="en-US"/>
              </w:rPr>
              <w:t>Pays-Bas</w:t>
            </w:r>
          </w:p>
        </w:tc>
      </w:tr>
      <w:tr w:rsidR="00306705" w:rsidRPr="007F1538" w:rsidTr="007F1538">
        <w:tc>
          <w:tcPr>
            <w:tcW w:w="3254" w:type="dxa"/>
            <w:shd w:val="clear" w:color="auto" w:fill="auto"/>
            <w:noWrap/>
            <w:vAlign w:val="bottom"/>
          </w:tcPr>
          <w:p w:rsidR="00306705" w:rsidRPr="007F1538" w:rsidRDefault="007F1538" w:rsidP="00690B4E">
            <w:pPr>
              <w:rPr>
                <w:rFonts w:cs="Arial"/>
                <w:lang w:val="fr-FR" w:eastAsia="en-US"/>
              </w:rPr>
            </w:pPr>
            <w:r w:rsidRPr="007F1538">
              <w:rPr>
                <w:rFonts w:cs="Arial"/>
                <w:lang w:val="fr-FR" w:eastAsia="en-US"/>
              </w:rPr>
              <w:t>Pourcentage de travailleurs qui ont suivi une formation</w:t>
            </w:r>
          </w:p>
        </w:tc>
        <w:tc>
          <w:tcPr>
            <w:tcW w:w="1260" w:type="dxa"/>
            <w:shd w:val="clear" w:color="auto" w:fill="auto"/>
            <w:noWrap/>
            <w:vAlign w:val="bottom"/>
          </w:tcPr>
          <w:p w:rsidR="00306705" w:rsidRPr="007F1538" w:rsidRDefault="00306705" w:rsidP="001E0217">
            <w:pPr>
              <w:jc w:val="center"/>
              <w:rPr>
                <w:rFonts w:cs="Arial"/>
                <w:lang w:val="fr-FR" w:eastAsia="en-US"/>
              </w:rPr>
            </w:pPr>
            <w:r w:rsidRPr="007F1538">
              <w:rPr>
                <w:rFonts w:cs="Arial"/>
                <w:lang w:val="fr-FR" w:eastAsia="en-US"/>
              </w:rPr>
              <w:t>44%</w:t>
            </w:r>
          </w:p>
        </w:tc>
        <w:tc>
          <w:tcPr>
            <w:tcW w:w="1209" w:type="dxa"/>
            <w:shd w:val="clear" w:color="auto" w:fill="auto"/>
            <w:noWrap/>
            <w:vAlign w:val="bottom"/>
          </w:tcPr>
          <w:p w:rsidR="00306705" w:rsidRPr="007F1538" w:rsidRDefault="00306705" w:rsidP="001E0217">
            <w:pPr>
              <w:jc w:val="center"/>
              <w:rPr>
                <w:rFonts w:cs="Arial"/>
                <w:lang w:val="fr-FR" w:eastAsia="en-US"/>
              </w:rPr>
            </w:pPr>
            <w:r w:rsidRPr="007F1538">
              <w:rPr>
                <w:rFonts w:cs="Arial"/>
                <w:lang w:val="fr-FR" w:eastAsia="en-US"/>
              </w:rPr>
              <w:t>25%</w:t>
            </w:r>
          </w:p>
        </w:tc>
        <w:tc>
          <w:tcPr>
            <w:tcW w:w="1097" w:type="dxa"/>
            <w:vAlign w:val="bottom"/>
          </w:tcPr>
          <w:p w:rsidR="00306705" w:rsidRPr="007F1538" w:rsidRDefault="00306705" w:rsidP="001E0217">
            <w:pPr>
              <w:jc w:val="center"/>
              <w:rPr>
                <w:rFonts w:cs="Arial"/>
                <w:lang w:val="fr-FR" w:eastAsia="en-US"/>
              </w:rPr>
            </w:pPr>
            <w:r w:rsidRPr="007F1538">
              <w:rPr>
                <w:rFonts w:cs="Arial"/>
                <w:lang w:val="fr-FR" w:eastAsia="en-US"/>
              </w:rPr>
              <w:t>47%</w:t>
            </w:r>
          </w:p>
        </w:tc>
        <w:tc>
          <w:tcPr>
            <w:tcW w:w="1294" w:type="dxa"/>
            <w:gridSpan w:val="2"/>
            <w:vAlign w:val="bottom"/>
          </w:tcPr>
          <w:p w:rsidR="00306705" w:rsidRPr="007F1538" w:rsidRDefault="00306705" w:rsidP="001E0217">
            <w:pPr>
              <w:jc w:val="center"/>
              <w:rPr>
                <w:rFonts w:cs="Arial"/>
                <w:lang w:val="fr-FR" w:eastAsia="en-US"/>
              </w:rPr>
            </w:pPr>
            <w:r w:rsidRPr="007F1538">
              <w:rPr>
                <w:rFonts w:cs="Arial"/>
                <w:lang w:val="fr-FR" w:eastAsia="en-US"/>
              </w:rPr>
              <w:t>28%</w:t>
            </w:r>
          </w:p>
        </w:tc>
      </w:tr>
      <w:tr w:rsidR="00306705" w:rsidRPr="007F1538" w:rsidTr="007F1538">
        <w:tc>
          <w:tcPr>
            <w:tcW w:w="3254" w:type="dxa"/>
            <w:shd w:val="clear" w:color="auto" w:fill="auto"/>
            <w:noWrap/>
            <w:vAlign w:val="bottom"/>
          </w:tcPr>
          <w:p w:rsidR="00306705" w:rsidRPr="007F1538" w:rsidRDefault="007F1538" w:rsidP="00690B4E">
            <w:pPr>
              <w:rPr>
                <w:rFonts w:cs="Arial"/>
                <w:lang w:val="fr-FR" w:eastAsia="en-US"/>
              </w:rPr>
            </w:pPr>
            <w:r w:rsidRPr="007F1538">
              <w:rPr>
                <w:rFonts w:cs="Arial"/>
                <w:lang w:val="fr-FR" w:eastAsia="en-US"/>
              </w:rPr>
              <w:t>Pourcentage des frais de formation par rapport aux coûts totaux en personnel</w:t>
            </w:r>
          </w:p>
        </w:tc>
        <w:tc>
          <w:tcPr>
            <w:tcW w:w="1260" w:type="dxa"/>
            <w:shd w:val="clear" w:color="auto" w:fill="auto"/>
            <w:noWrap/>
            <w:vAlign w:val="bottom"/>
          </w:tcPr>
          <w:p w:rsidR="00306705" w:rsidRPr="007F1538" w:rsidRDefault="00306705" w:rsidP="000D046C">
            <w:pPr>
              <w:jc w:val="center"/>
              <w:rPr>
                <w:rFonts w:cs="Arial"/>
                <w:lang w:val="fr-FR" w:eastAsia="en-US"/>
              </w:rPr>
            </w:pPr>
            <w:r w:rsidRPr="007F1538">
              <w:rPr>
                <w:rFonts w:cs="Arial"/>
                <w:lang w:val="fr-FR" w:eastAsia="en-US"/>
              </w:rPr>
              <w:t>1,2%</w:t>
            </w:r>
          </w:p>
        </w:tc>
        <w:tc>
          <w:tcPr>
            <w:tcW w:w="1209" w:type="dxa"/>
            <w:shd w:val="clear" w:color="auto" w:fill="auto"/>
            <w:noWrap/>
            <w:vAlign w:val="bottom"/>
          </w:tcPr>
          <w:p w:rsidR="00306705" w:rsidRPr="007F1538" w:rsidRDefault="00306705" w:rsidP="000D046C">
            <w:pPr>
              <w:jc w:val="center"/>
              <w:rPr>
                <w:rFonts w:cs="Arial"/>
                <w:lang w:val="fr-FR" w:eastAsia="en-US"/>
              </w:rPr>
            </w:pPr>
            <w:r w:rsidRPr="007F1538">
              <w:rPr>
                <w:rFonts w:cs="Arial"/>
                <w:lang w:val="fr-FR" w:eastAsia="en-US"/>
              </w:rPr>
              <w:t>0,6%</w:t>
            </w:r>
          </w:p>
        </w:tc>
        <w:tc>
          <w:tcPr>
            <w:tcW w:w="1097" w:type="dxa"/>
            <w:vAlign w:val="bottom"/>
          </w:tcPr>
          <w:p w:rsidR="00306705" w:rsidRPr="007F1538" w:rsidRDefault="00306705" w:rsidP="000D046C">
            <w:pPr>
              <w:jc w:val="center"/>
              <w:rPr>
                <w:rFonts w:cs="Arial"/>
                <w:lang w:val="fr-FR" w:eastAsia="en-US"/>
              </w:rPr>
            </w:pPr>
            <w:r w:rsidRPr="007F1538">
              <w:rPr>
                <w:rFonts w:cs="Arial"/>
                <w:lang w:val="fr-FR" w:eastAsia="en-US"/>
              </w:rPr>
              <w:t>2,1%</w:t>
            </w:r>
          </w:p>
        </w:tc>
        <w:tc>
          <w:tcPr>
            <w:tcW w:w="1294" w:type="dxa"/>
            <w:gridSpan w:val="2"/>
            <w:vAlign w:val="bottom"/>
          </w:tcPr>
          <w:p w:rsidR="00306705" w:rsidRPr="007F1538" w:rsidRDefault="00306705" w:rsidP="000D046C">
            <w:pPr>
              <w:jc w:val="center"/>
              <w:rPr>
                <w:rFonts w:cs="Arial"/>
                <w:lang w:val="fr-FR" w:eastAsia="en-US"/>
              </w:rPr>
            </w:pPr>
            <w:r w:rsidRPr="007F1538">
              <w:rPr>
                <w:rFonts w:cs="Arial"/>
                <w:lang w:val="fr-FR" w:eastAsia="en-US"/>
              </w:rPr>
              <w:t>1,4%</w:t>
            </w:r>
          </w:p>
        </w:tc>
      </w:tr>
      <w:tr w:rsidR="00306705" w:rsidRPr="007F1538" w:rsidTr="007F1538">
        <w:tc>
          <w:tcPr>
            <w:tcW w:w="3254" w:type="dxa"/>
            <w:tcBorders>
              <w:bottom w:val="single" w:sz="4" w:space="0" w:color="auto"/>
            </w:tcBorders>
            <w:shd w:val="clear" w:color="auto" w:fill="auto"/>
            <w:noWrap/>
            <w:vAlign w:val="bottom"/>
          </w:tcPr>
          <w:p w:rsidR="00306705" w:rsidRPr="007F1538" w:rsidRDefault="007F1538" w:rsidP="00690B4E">
            <w:pPr>
              <w:rPr>
                <w:rFonts w:cs="Arial"/>
                <w:lang w:val="fr-FR" w:eastAsia="en-US"/>
              </w:rPr>
            </w:pPr>
            <w:r w:rsidRPr="007F1538">
              <w:rPr>
                <w:rFonts w:cs="Arial"/>
                <w:lang w:val="fr-FR" w:eastAsia="en-US"/>
              </w:rPr>
              <w:t>Nombre moyen d’heures de formation par participant</w:t>
            </w:r>
          </w:p>
        </w:tc>
        <w:tc>
          <w:tcPr>
            <w:tcW w:w="1260" w:type="dxa"/>
            <w:tcBorders>
              <w:bottom w:val="single" w:sz="4" w:space="0" w:color="auto"/>
            </w:tcBorders>
            <w:shd w:val="clear" w:color="auto" w:fill="auto"/>
            <w:noWrap/>
            <w:vAlign w:val="bottom"/>
          </w:tcPr>
          <w:p w:rsidR="00306705" w:rsidRPr="007F1538" w:rsidRDefault="00306705" w:rsidP="000D046C">
            <w:pPr>
              <w:jc w:val="center"/>
              <w:rPr>
                <w:rFonts w:cs="Arial"/>
                <w:lang w:val="fr-FR" w:eastAsia="en-US"/>
              </w:rPr>
            </w:pPr>
            <w:r w:rsidRPr="007F1538">
              <w:rPr>
                <w:rFonts w:cs="Arial"/>
                <w:lang w:val="fr-FR" w:eastAsia="en-US"/>
              </w:rPr>
              <w:t>20</w:t>
            </w:r>
          </w:p>
        </w:tc>
        <w:tc>
          <w:tcPr>
            <w:tcW w:w="1209" w:type="dxa"/>
            <w:tcBorders>
              <w:bottom w:val="single" w:sz="4" w:space="0" w:color="auto"/>
            </w:tcBorders>
            <w:shd w:val="clear" w:color="auto" w:fill="auto"/>
            <w:noWrap/>
            <w:vAlign w:val="bottom"/>
          </w:tcPr>
          <w:p w:rsidR="00306705" w:rsidRPr="007F1538" w:rsidRDefault="00306705" w:rsidP="000D046C">
            <w:pPr>
              <w:jc w:val="center"/>
              <w:rPr>
                <w:rFonts w:cs="Arial"/>
                <w:lang w:val="fr-FR" w:eastAsia="en-US"/>
              </w:rPr>
            </w:pPr>
            <w:r w:rsidRPr="007F1538">
              <w:rPr>
                <w:rFonts w:cs="Arial"/>
                <w:lang w:val="fr-FR" w:eastAsia="en-US"/>
              </w:rPr>
              <w:t>19</w:t>
            </w:r>
          </w:p>
        </w:tc>
        <w:tc>
          <w:tcPr>
            <w:tcW w:w="1097" w:type="dxa"/>
            <w:vAlign w:val="bottom"/>
          </w:tcPr>
          <w:p w:rsidR="00306705" w:rsidRPr="007F1538" w:rsidRDefault="00306705" w:rsidP="000D046C">
            <w:pPr>
              <w:jc w:val="center"/>
              <w:rPr>
                <w:rFonts w:cs="Arial"/>
                <w:lang w:val="fr-FR" w:eastAsia="en-US"/>
              </w:rPr>
            </w:pPr>
            <w:r w:rsidRPr="007F1538">
              <w:rPr>
                <w:rFonts w:cs="Arial"/>
                <w:lang w:val="fr-FR" w:eastAsia="en-US"/>
              </w:rPr>
              <w:t>20</w:t>
            </w:r>
          </w:p>
        </w:tc>
        <w:tc>
          <w:tcPr>
            <w:tcW w:w="1294" w:type="dxa"/>
            <w:gridSpan w:val="2"/>
            <w:vAlign w:val="bottom"/>
          </w:tcPr>
          <w:p w:rsidR="00306705" w:rsidRPr="007F1538" w:rsidRDefault="00306705" w:rsidP="000D046C">
            <w:pPr>
              <w:jc w:val="center"/>
              <w:rPr>
                <w:rFonts w:cs="Arial"/>
                <w:lang w:val="fr-FR" w:eastAsia="en-US"/>
              </w:rPr>
            </w:pPr>
            <w:r w:rsidRPr="007F1538">
              <w:rPr>
                <w:rFonts w:cs="Arial"/>
                <w:lang w:val="fr-FR" w:eastAsia="en-US"/>
              </w:rPr>
              <w:t>36</w:t>
            </w:r>
          </w:p>
        </w:tc>
      </w:tr>
      <w:tr w:rsidR="00162EA0" w:rsidRPr="007F1538" w:rsidTr="007F1538">
        <w:trPr>
          <w:gridAfter w:val="1"/>
          <w:wAfter w:w="1131" w:type="dxa"/>
        </w:trPr>
        <w:tc>
          <w:tcPr>
            <w:tcW w:w="6983" w:type="dxa"/>
            <w:gridSpan w:val="5"/>
            <w:tcBorders>
              <w:top w:val="single" w:sz="4" w:space="0" w:color="auto"/>
              <w:left w:val="nil"/>
              <w:bottom w:val="nil"/>
              <w:right w:val="nil"/>
            </w:tcBorders>
            <w:shd w:val="clear" w:color="auto" w:fill="auto"/>
            <w:noWrap/>
            <w:vAlign w:val="bottom"/>
          </w:tcPr>
          <w:p w:rsidR="00162EA0" w:rsidRPr="007F1538" w:rsidRDefault="007F1538" w:rsidP="00690B4E">
            <w:pPr>
              <w:rPr>
                <w:rFonts w:cs="Arial"/>
                <w:sz w:val="18"/>
                <w:szCs w:val="18"/>
                <w:lang w:val="fr-FR" w:eastAsia="en-US"/>
              </w:rPr>
            </w:pPr>
            <w:r w:rsidRPr="007F1538">
              <w:rPr>
                <w:rFonts w:cs="Arial"/>
                <w:sz w:val="18"/>
                <w:szCs w:val="18"/>
                <w:lang w:val="fr-FR" w:eastAsia="en-US"/>
              </w:rPr>
              <w:t>Source :</w:t>
            </w:r>
            <w:r w:rsidR="00162EA0" w:rsidRPr="007F1538">
              <w:rPr>
                <w:rFonts w:cs="Arial"/>
                <w:sz w:val="18"/>
                <w:szCs w:val="18"/>
                <w:lang w:val="fr-FR" w:eastAsia="en-US"/>
              </w:rPr>
              <w:t xml:space="preserve"> </w:t>
            </w:r>
            <w:r w:rsidRPr="007F1538">
              <w:rPr>
                <w:rFonts w:cs="Arial"/>
                <w:sz w:val="18"/>
                <w:szCs w:val="18"/>
                <w:lang w:val="fr-FR" w:eastAsia="en-US"/>
              </w:rPr>
              <w:t>Continuous Vocational Training Survey 2005</w:t>
            </w:r>
          </w:p>
        </w:tc>
      </w:tr>
    </w:tbl>
    <w:p w:rsidR="005E0D3F" w:rsidRPr="007F1538" w:rsidRDefault="005E0D3F" w:rsidP="005E0D3F">
      <w:pPr>
        <w:rPr>
          <w:lang w:val="fr-FR"/>
        </w:rPr>
      </w:pPr>
      <w:bookmarkStart w:id="15" w:name="_Toc231044709"/>
      <w:bookmarkStart w:id="16" w:name="_Toc233192568"/>
      <w:bookmarkEnd w:id="1"/>
      <w:bookmarkEnd w:id="2"/>
    </w:p>
    <w:p w:rsidR="003A577B" w:rsidRPr="007F1538" w:rsidRDefault="003A577B" w:rsidP="00821D70">
      <w:pPr>
        <w:rPr>
          <w:rFonts w:cs="Arial"/>
          <w:lang w:val="fr-FR"/>
        </w:rPr>
      </w:pPr>
      <w:bookmarkStart w:id="17" w:name="_Toc169421572"/>
      <w:bookmarkStart w:id="18" w:name="_Toc169421733"/>
      <w:bookmarkEnd w:id="15"/>
      <w:bookmarkEnd w:id="16"/>
    </w:p>
    <w:p w:rsidR="006D1F3B" w:rsidRPr="007F1538" w:rsidRDefault="007F1538" w:rsidP="007F1538">
      <w:pPr>
        <w:pStyle w:val="Heading2"/>
        <w:numPr>
          <w:ilvl w:val="1"/>
          <w:numId w:val="43"/>
        </w:numPr>
        <w:rPr>
          <w:lang w:val="fr-FR"/>
        </w:rPr>
      </w:pPr>
      <w:bookmarkStart w:id="19" w:name="_Toc267060120"/>
      <w:bookmarkStart w:id="20" w:name="_Toc269220674"/>
      <w:bookmarkStart w:id="21" w:name="_Toc231044711"/>
      <w:bookmarkStart w:id="22" w:name="_Toc233192570"/>
      <w:r w:rsidRPr="007F1538">
        <w:rPr>
          <w:lang w:val="fr-FR"/>
        </w:rPr>
        <w:t>Rendement des efforts de formation dans l’industrie alimentaire</w:t>
      </w:r>
      <w:bookmarkEnd w:id="19"/>
      <w:bookmarkEnd w:id="20"/>
    </w:p>
    <w:p w:rsidR="00842423" w:rsidRPr="007F1538" w:rsidRDefault="007F1538" w:rsidP="00CB1801">
      <w:pPr>
        <w:jc w:val="both"/>
        <w:rPr>
          <w:rFonts w:cs="Arial"/>
          <w:lang w:val="fr-FR"/>
        </w:rPr>
      </w:pPr>
      <w:r w:rsidRPr="007F1538">
        <w:rPr>
          <w:rFonts w:cs="Arial"/>
          <w:lang w:val="fr-FR"/>
        </w:rPr>
        <w:t>Une analyse du CCE (Tillieux, 2010) démontre que des investissements dans la formation vont de pair avec une productivité plus élevée des entreprises dans l’industrie alimentaire.</w:t>
      </w:r>
      <w:r w:rsidR="00CB1801" w:rsidRPr="007F1538">
        <w:rPr>
          <w:rFonts w:cs="Arial"/>
          <w:lang w:val="fr-FR"/>
        </w:rPr>
        <w:t xml:space="preserve"> </w:t>
      </w:r>
      <w:r w:rsidRPr="007F1538">
        <w:rPr>
          <w:rFonts w:cs="Arial"/>
          <w:lang w:val="fr-FR"/>
        </w:rPr>
        <w:t xml:space="preserve">Une comparaison de l’industrie alimentaire dans différents pays européens permet </w:t>
      </w:r>
      <w:r w:rsidR="00CD77BA">
        <w:rPr>
          <w:rFonts w:cs="Arial"/>
          <w:lang w:val="fr-FR"/>
        </w:rPr>
        <w:t xml:space="preserve">de </w:t>
      </w:r>
      <w:r w:rsidRPr="007F1538">
        <w:rPr>
          <w:rFonts w:cs="Arial"/>
          <w:lang w:val="fr-FR"/>
        </w:rPr>
        <w:t>faire le lien entre la productivité et les indicateurs des efforts de formation :</w:t>
      </w:r>
      <w:r w:rsidR="00B67161">
        <w:rPr>
          <w:rFonts w:cs="Arial"/>
          <w:lang w:val="fr-FR"/>
        </w:rPr>
        <w:t xml:space="preserve"> </w:t>
      </w:r>
      <w:r w:rsidRPr="007F1538">
        <w:rPr>
          <w:rFonts w:cs="Arial"/>
          <w:lang w:val="fr-FR"/>
        </w:rPr>
        <w:t>le pourcentage des coûts de formation en comparaison avec les coûts totaux en personnel, le pourcentage des heures de formation en comparaison avec les heures prestées et le pourcentage des travailleurs qui ont bénéficié d’une formation.</w:t>
      </w:r>
      <w:r w:rsidR="00842423" w:rsidRPr="007F1538">
        <w:rPr>
          <w:rFonts w:cs="Arial"/>
          <w:lang w:val="fr-FR"/>
        </w:rPr>
        <w:t xml:space="preserve"> </w:t>
      </w:r>
      <w:r w:rsidRPr="007F1538">
        <w:rPr>
          <w:rFonts w:cs="Arial"/>
          <w:lang w:val="fr-FR"/>
        </w:rPr>
        <w:t>Les résultats du dernier indicateur sont présentés ci-dessous.</w:t>
      </w:r>
    </w:p>
    <w:p w:rsidR="00842423" w:rsidRPr="007F1538" w:rsidRDefault="00842423" w:rsidP="00CB1801">
      <w:pPr>
        <w:jc w:val="both"/>
        <w:rPr>
          <w:rFonts w:cs="Arial"/>
          <w:lang w:val="fr-FR"/>
        </w:rPr>
      </w:pPr>
    </w:p>
    <w:p w:rsidR="00842423" w:rsidRPr="007F1538" w:rsidRDefault="00842423" w:rsidP="00CB1801">
      <w:pPr>
        <w:jc w:val="both"/>
        <w:rPr>
          <w:rFonts w:cs="Arial"/>
          <w:lang w:val="fr-FR"/>
        </w:rPr>
      </w:pPr>
    </w:p>
    <w:p w:rsidR="007030DC" w:rsidRPr="007F1538" w:rsidRDefault="00462A51" w:rsidP="00CB1801">
      <w:pPr>
        <w:jc w:val="both"/>
        <w:rPr>
          <w:rFonts w:cs="Arial"/>
          <w:lang w:val="fr-FR"/>
        </w:rPr>
      </w:pPr>
      <w:r w:rsidRPr="007F1538">
        <w:rPr>
          <w:noProof/>
          <w:szCs w:val="24"/>
          <w:lang w:eastAsia="nl-BE"/>
        </w:rPr>
        <w:drawing>
          <wp:inline distT="0" distB="0" distL="0" distR="0">
            <wp:extent cx="5431155" cy="3131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31155" cy="3131185"/>
                    </a:xfrm>
                    <a:prstGeom prst="rect">
                      <a:avLst/>
                    </a:prstGeom>
                    <a:noFill/>
                    <a:ln w="9525">
                      <a:noFill/>
                      <a:miter lim="800000"/>
                      <a:headEnd/>
                      <a:tailEnd/>
                    </a:ln>
                  </pic:spPr>
                </pic:pic>
              </a:graphicData>
            </a:graphic>
          </wp:inline>
        </w:drawing>
      </w:r>
    </w:p>
    <w:p w:rsidR="007030DC" w:rsidRPr="007F1538" w:rsidRDefault="007030DC" w:rsidP="00CB1801">
      <w:pPr>
        <w:jc w:val="both"/>
        <w:rPr>
          <w:rFonts w:cs="Arial"/>
          <w:lang w:val="fr-FR"/>
        </w:rPr>
      </w:pPr>
    </w:p>
    <w:p w:rsidR="00842423" w:rsidRPr="007F1538" w:rsidRDefault="007F1538" w:rsidP="00CB1801">
      <w:pPr>
        <w:jc w:val="both"/>
        <w:rPr>
          <w:rFonts w:cs="Arial"/>
          <w:lang w:val="fr-FR"/>
        </w:rPr>
      </w:pPr>
      <w:r w:rsidRPr="007F1538">
        <w:rPr>
          <w:rFonts w:cs="Arial"/>
          <w:lang w:val="fr-FR"/>
        </w:rPr>
        <w:t>Source :</w:t>
      </w:r>
      <w:r w:rsidR="008751E4" w:rsidRPr="007F1538">
        <w:rPr>
          <w:rFonts w:cs="Arial"/>
          <w:lang w:val="fr-FR"/>
        </w:rPr>
        <w:t xml:space="preserve"> </w:t>
      </w:r>
      <w:r w:rsidRPr="007F1538">
        <w:rPr>
          <w:rFonts w:cs="Arial"/>
          <w:lang w:val="fr-FR"/>
        </w:rPr>
        <w:t>CCE</w:t>
      </w:r>
      <w:r w:rsidR="004A6063" w:rsidRPr="007F1538">
        <w:rPr>
          <w:rFonts w:cs="Arial"/>
          <w:lang w:val="fr-FR"/>
        </w:rPr>
        <w:t xml:space="preserve"> </w:t>
      </w:r>
    </w:p>
    <w:p w:rsidR="00842423" w:rsidRPr="007F1538" w:rsidRDefault="00842423" w:rsidP="00CB1801">
      <w:pPr>
        <w:jc w:val="both"/>
        <w:rPr>
          <w:rFonts w:cs="Arial"/>
          <w:lang w:val="fr-FR"/>
        </w:rPr>
      </w:pPr>
    </w:p>
    <w:p w:rsidR="004E3A44" w:rsidRPr="007F1538" w:rsidRDefault="004E3A44" w:rsidP="00CB1801">
      <w:pPr>
        <w:jc w:val="both"/>
        <w:rPr>
          <w:rFonts w:cs="Arial"/>
          <w:b/>
          <w:sz w:val="24"/>
          <w:szCs w:val="24"/>
          <w:lang w:val="fr-FR"/>
        </w:rPr>
      </w:pPr>
    </w:p>
    <w:p w:rsidR="004E3A44" w:rsidRPr="007F1538" w:rsidRDefault="004E3A44" w:rsidP="00CB1801">
      <w:pPr>
        <w:jc w:val="both"/>
        <w:rPr>
          <w:rFonts w:cs="Arial"/>
          <w:b/>
          <w:sz w:val="24"/>
          <w:szCs w:val="24"/>
          <w:lang w:val="fr-FR"/>
        </w:rPr>
      </w:pPr>
    </w:p>
    <w:p w:rsidR="00842423" w:rsidRPr="007F1538" w:rsidRDefault="00842423" w:rsidP="00CB1801">
      <w:pPr>
        <w:jc w:val="both"/>
        <w:rPr>
          <w:rFonts w:cs="Arial"/>
          <w:lang w:val="fr-FR"/>
        </w:rPr>
      </w:pPr>
    </w:p>
    <w:p w:rsidR="00842423" w:rsidRPr="007F1538" w:rsidRDefault="00842423" w:rsidP="00CB1801">
      <w:pPr>
        <w:jc w:val="both"/>
        <w:rPr>
          <w:rFonts w:cs="Arial"/>
          <w:lang w:val="fr-FR"/>
        </w:rPr>
      </w:pPr>
    </w:p>
    <w:p w:rsidR="003B716B" w:rsidRPr="007F1538" w:rsidRDefault="005E0D3F" w:rsidP="007F1538">
      <w:pPr>
        <w:pStyle w:val="Heading1"/>
        <w:rPr>
          <w:lang w:val="fr-FR"/>
        </w:rPr>
      </w:pPr>
      <w:r w:rsidRPr="007F1538">
        <w:rPr>
          <w:color w:val="FF0000"/>
          <w:lang w:val="fr-FR"/>
        </w:rPr>
        <w:br w:type="page"/>
      </w:r>
      <w:bookmarkStart w:id="23" w:name="_Toc267060121"/>
      <w:bookmarkStart w:id="24" w:name="_Toc269220675"/>
      <w:bookmarkStart w:id="25" w:name="_Toc233194335"/>
      <w:bookmarkStart w:id="26" w:name="_Toc233194490"/>
      <w:bookmarkStart w:id="27" w:name="_Toc233607046"/>
      <w:bookmarkStart w:id="28" w:name="_Toc263170592"/>
      <w:r w:rsidR="007F1538" w:rsidRPr="007F1538">
        <w:rPr>
          <w:lang w:val="fr-FR"/>
        </w:rPr>
        <w:lastRenderedPageBreak/>
        <w:t>Formations de l’IFP</w:t>
      </w:r>
      <w:bookmarkEnd w:id="23"/>
      <w:bookmarkEnd w:id="24"/>
    </w:p>
    <w:p w:rsidR="003B716B" w:rsidRPr="007F1538" w:rsidRDefault="003B716B" w:rsidP="003B716B">
      <w:pPr>
        <w:rPr>
          <w:b/>
          <w:szCs w:val="24"/>
          <w:lang w:val="fr-FR" w:eastAsia="pl-PL"/>
        </w:rPr>
      </w:pPr>
    </w:p>
    <w:p w:rsidR="001841B6" w:rsidRPr="007F1538" w:rsidRDefault="007F1538" w:rsidP="001841B6">
      <w:pPr>
        <w:rPr>
          <w:rFonts w:cs="Arial"/>
          <w:lang w:val="fr-FR"/>
        </w:rPr>
      </w:pPr>
      <w:r w:rsidRPr="007F1538">
        <w:rPr>
          <w:rFonts w:cs="Arial"/>
          <w:lang w:val="fr-FR"/>
        </w:rPr>
        <w:t xml:space="preserve">En 2009, près de 26.464 </w:t>
      </w:r>
      <w:r w:rsidR="00B1395D">
        <w:rPr>
          <w:rFonts w:cs="Arial"/>
          <w:lang w:val="fr-FR"/>
        </w:rPr>
        <w:t>participants</w:t>
      </w:r>
      <w:r w:rsidRPr="007F1538">
        <w:rPr>
          <w:rFonts w:cs="Arial"/>
          <w:lang w:val="fr-FR"/>
        </w:rPr>
        <w:t xml:space="preserve"> ont suivi une formation IFP.</w:t>
      </w:r>
      <w:r w:rsidR="00DC6B00" w:rsidRPr="007F1538">
        <w:rPr>
          <w:rFonts w:cs="Arial"/>
          <w:lang w:val="fr-FR"/>
        </w:rPr>
        <w:t xml:space="preserve"> </w:t>
      </w:r>
      <w:r w:rsidR="00FD7420" w:rsidRPr="007F1538">
        <w:rPr>
          <w:rFonts w:cs="Arial"/>
          <w:lang w:val="fr-FR"/>
        </w:rPr>
        <w:t>24.164</w:t>
      </w:r>
      <w:r w:rsidR="001841B6" w:rsidRPr="007F1538">
        <w:rPr>
          <w:rFonts w:cs="Arial"/>
          <w:lang w:val="fr-FR"/>
        </w:rPr>
        <w:t xml:space="preserve"> </w:t>
      </w:r>
      <w:r w:rsidRPr="007F1538">
        <w:rPr>
          <w:rFonts w:cs="Arial"/>
          <w:lang w:val="fr-FR"/>
        </w:rPr>
        <w:t>participants appartenaient aux commissions paritaires 118 et 220.</w:t>
      </w:r>
      <w:r w:rsidR="001841B6" w:rsidRPr="007F1538">
        <w:rPr>
          <w:rFonts w:cs="Arial"/>
          <w:lang w:val="fr-FR"/>
        </w:rPr>
        <w:t xml:space="preserve"> </w:t>
      </w:r>
      <w:r w:rsidRPr="007F1538">
        <w:rPr>
          <w:rFonts w:cs="Arial"/>
          <w:lang w:val="fr-FR"/>
        </w:rPr>
        <w:t>En outre, d’autres secteurs pouvaient également faire appel à l’IFP.</w:t>
      </w:r>
      <w:r w:rsidR="001841B6" w:rsidRPr="007F1538">
        <w:rPr>
          <w:rFonts w:cs="Arial"/>
          <w:lang w:val="fr-FR"/>
        </w:rPr>
        <w:t xml:space="preserve"> </w:t>
      </w:r>
      <w:r w:rsidRPr="007F1538">
        <w:rPr>
          <w:rFonts w:cs="Arial"/>
          <w:lang w:val="fr-FR"/>
        </w:rPr>
        <w:t>Ainsi, 564 intérimaires (Commission paritaire 322) d’entreprises alimentaires, 27 participants de la Commission paritaire 200, 14 participants de la Commission paritaire 201 et 244 participants de la Commission paritaire 218 ont suivi une formation auprès de l’IFP.</w:t>
      </w:r>
      <w:r w:rsidR="001841B6" w:rsidRPr="007F1538">
        <w:rPr>
          <w:rFonts w:cs="Arial"/>
          <w:lang w:val="fr-FR"/>
        </w:rPr>
        <w:t xml:space="preserve"> </w:t>
      </w:r>
      <w:r w:rsidRPr="007F1538">
        <w:rPr>
          <w:rFonts w:cs="Arial"/>
          <w:lang w:val="fr-FR"/>
        </w:rPr>
        <w:t>812 patrons et conjoints aidants ont également participé à une formation avec leurs travailleurs.</w:t>
      </w:r>
    </w:p>
    <w:p w:rsidR="00D45A82" w:rsidRPr="007F1538" w:rsidRDefault="00D45A82" w:rsidP="003B716B">
      <w:pPr>
        <w:rPr>
          <w:rFonts w:cs="Arial"/>
          <w:lang w:val="fr-FR"/>
        </w:rPr>
      </w:pPr>
    </w:p>
    <w:p w:rsidR="003B716B" w:rsidRPr="007F1538" w:rsidRDefault="007F1538" w:rsidP="003B716B">
      <w:pPr>
        <w:rPr>
          <w:rFonts w:cs="Arial"/>
          <w:lang w:val="fr-FR"/>
        </w:rPr>
      </w:pPr>
      <w:r w:rsidRPr="007F1538">
        <w:rPr>
          <w:rFonts w:cs="Arial"/>
          <w:lang w:val="fr-FR"/>
        </w:rPr>
        <w:t xml:space="preserve">Au total, 15.394 travailleurs différents des commissions paritaires 118 et 220 ont suivi une formation en 2009, soit 17% de tous les travailleurs </w:t>
      </w:r>
      <w:r w:rsidR="002E045B">
        <w:rPr>
          <w:rFonts w:cs="Arial"/>
          <w:lang w:val="fr-FR"/>
        </w:rPr>
        <w:t xml:space="preserve">salariés </w:t>
      </w:r>
      <w:r w:rsidRPr="007F1538">
        <w:rPr>
          <w:rFonts w:cs="Arial"/>
          <w:lang w:val="fr-FR"/>
        </w:rPr>
        <w:t>du secteur.</w:t>
      </w:r>
      <w:r w:rsidR="003B716B" w:rsidRPr="007F1538">
        <w:rPr>
          <w:rFonts w:cs="Arial"/>
          <w:lang w:val="fr-FR"/>
        </w:rPr>
        <w:t xml:space="preserve"> </w:t>
      </w:r>
      <w:r w:rsidRPr="007F1538">
        <w:rPr>
          <w:rFonts w:cs="Arial"/>
          <w:lang w:val="fr-FR"/>
        </w:rPr>
        <w:t>L’objectif stratégique imposé à l'IFP par les partenaires sociaux est d’ores et déjà atteint :</w:t>
      </w:r>
      <w:r w:rsidR="003B716B" w:rsidRPr="007F1538">
        <w:rPr>
          <w:rFonts w:cs="Arial"/>
          <w:lang w:val="fr-FR"/>
        </w:rPr>
        <w:t xml:space="preserve"> </w:t>
      </w:r>
      <w:r w:rsidRPr="007F1538">
        <w:rPr>
          <w:rFonts w:cs="Arial"/>
          <w:lang w:val="fr-FR"/>
        </w:rPr>
        <w:t>d'ici 2010, 14.200 travailleurs devaient avoir suivi une formation.</w:t>
      </w:r>
    </w:p>
    <w:p w:rsidR="003B716B" w:rsidRPr="007F1538" w:rsidRDefault="003B716B" w:rsidP="003B716B">
      <w:pPr>
        <w:rPr>
          <w:rFonts w:cs="Arial"/>
          <w:lang w:val="fr-FR"/>
        </w:rPr>
      </w:pPr>
    </w:p>
    <w:p w:rsidR="003B716B" w:rsidRPr="007F1538" w:rsidRDefault="007F1538" w:rsidP="003B716B">
      <w:pPr>
        <w:rPr>
          <w:rFonts w:cs="Arial"/>
          <w:lang w:val="fr-FR"/>
        </w:rPr>
      </w:pPr>
      <w:r w:rsidRPr="007F1538">
        <w:rPr>
          <w:rFonts w:cs="Arial"/>
          <w:lang w:val="fr-FR"/>
        </w:rPr>
        <w:t>Les formations en matière de sécurité alimentaire, d’autocontrôle, de HACCP, d’hygiène, de BRC et de GMP, organisées ou non sur mesure pour certains sous-secteurs, sont également restées le principal segment en 2009, c’est-à-dire 36,2% de toutes les formations.</w:t>
      </w:r>
      <w:r w:rsidR="003B716B" w:rsidRPr="007F1538">
        <w:rPr>
          <w:rFonts w:cs="Arial"/>
          <w:lang w:val="fr-FR"/>
        </w:rPr>
        <w:t xml:space="preserve"> </w:t>
      </w:r>
      <w:r w:rsidRPr="007F1538">
        <w:rPr>
          <w:rFonts w:cs="Arial"/>
          <w:lang w:val="fr-FR"/>
        </w:rPr>
        <w:t>En comparaison avec 2008, cela représente une hausse de près de 4%.</w:t>
      </w:r>
      <w:r w:rsidR="003B716B" w:rsidRPr="007F1538">
        <w:rPr>
          <w:rFonts w:cs="Arial"/>
          <w:lang w:val="fr-FR"/>
        </w:rPr>
        <w:t xml:space="preserve"> </w:t>
      </w:r>
      <w:r w:rsidRPr="007F1538">
        <w:rPr>
          <w:rFonts w:cs="Arial"/>
          <w:lang w:val="fr-FR"/>
        </w:rPr>
        <w:t>L</w:t>
      </w:r>
      <w:r w:rsidR="007A0C84">
        <w:rPr>
          <w:rFonts w:cs="Arial"/>
          <w:lang w:val="fr-FR"/>
        </w:rPr>
        <w:t>’</w:t>
      </w:r>
      <w:r w:rsidRPr="007F1538">
        <w:rPr>
          <w:rFonts w:cs="Arial"/>
          <w:lang w:val="fr-FR"/>
        </w:rPr>
        <w:t>a</w:t>
      </w:r>
      <w:r w:rsidR="007A0C84">
        <w:rPr>
          <w:rFonts w:cs="Arial"/>
          <w:lang w:val="fr-FR"/>
        </w:rPr>
        <w:t>ugmentation</w:t>
      </w:r>
      <w:r w:rsidRPr="007F1538">
        <w:rPr>
          <w:rFonts w:cs="Arial"/>
          <w:lang w:val="fr-FR"/>
        </w:rPr>
        <w:t xml:space="preserve"> du nombre de formations en sécurité alim</w:t>
      </w:r>
      <w:r w:rsidR="007A0C84">
        <w:rPr>
          <w:rFonts w:cs="Arial"/>
          <w:lang w:val="fr-FR"/>
        </w:rPr>
        <w:t>entaire est la plus forte dans l</w:t>
      </w:r>
      <w:r w:rsidRPr="007F1538">
        <w:rPr>
          <w:rFonts w:cs="Arial"/>
          <w:lang w:val="fr-FR"/>
        </w:rPr>
        <w:t>es PME de moins de 10 travailleurs :</w:t>
      </w:r>
      <w:r w:rsidR="003B716B" w:rsidRPr="007F1538">
        <w:rPr>
          <w:rFonts w:cs="Arial"/>
          <w:lang w:val="fr-FR"/>
        </w:rPr>
        <w:t xml:space="preserve"> </w:t>
      </w:r>
      <w:r w:rsidRPr="007F1538">
        <w:rPr>
          <w:rFonts w:cs="Arial"/>
          <w:lang w:val="fr-FR"/>
        </w:rPr>
        <w:t>de 69% en 2008 à 85% en 2009.</w:t>
      </w:r>
      <w:r w:rsidR="003B716B" w:rsidRPr="007F1538">
        <w:rPr>
          <w:rFonts w:cs="Arial"/>
          <w:lang w:val="fr-FR"/>
        </w:rPr>
        <w:t xml:space="preserve"> </w:t>
      </w:r>
      <w:r w:rsidRPr="007F1538">
        <w:rPr>
          <w:rFonts w:cs="Arial"/>
          <w:lang w:val="fr-FR"/>
        </w:rPr>
        <w:t>La nouvelle réglementation en matière d’autocontrôle axée sur les boulangeries (entreprises qui comptent en majorité moins de 10 travailleurs) explique cette situation dans une large mesure.</w:t>
      </w:r>
      <w:r w:rsidR="003B716B" w:rsidRPr="007F1538">
        <w:rPr>
          <w:rFonts w:cs="Arial"/>
          <w:lang w:val="fr-FR"/>
        </w:rPr>
        <w:t xml:space="preserve"> </w:t>
      </w:r>
      <w:r w:rsidRPr="007F1538">
        <w:rPr>
          <w:rFonts w:cs="Arial"/>
          <w:lang w:val="fr-FR"/>
        </w:rPr>
        <w:t>Grâce à son fonctionnement spécifique axé sur les boulangers, l’IFP parvient à atteindre ce groupe mieux qu’auparavant :</w:t>
      </w:r>
      <w:r w:rsidR="003B716B" w:rsidRPr="007F1538">
        <w:rPr>
          <w:rFonts w:cs="Arial"/>
          <w:lang w:val="fr-FR"/>
        </w:rPr>
        <w:t xml:space="preserve"> </w:t>
      </w:r>
      <w:r w:rsidRPr="007F1538">
        <w:rPr>
          <w:rFonts w:cs="Arial"/>
          <w:lang w:val="fr-FR"/>
        </w:rPr>
        <w:t>en 2008, l’IFP a</w:t>
      </w:r>
      <w:r w:rsidR="008760A4">
        <w:rPr>
          <w:rFonts w:cs="Arial"/>
          <w:lang w:val="fr-FR"/>
        </w:rPr>
        <w:t>vait</w:t>
      </w:r>
      <w:r w:rsidRPr="007F1538">
        <w:rPr>
          <w:rFonts w:cs="Arial"/>
          <w:lang w:val="fr-FR"/>
        </w:rPr>
        <w:t xml:space="preserve"> atteint 2,15% des boulangeries contre pas moins de 16,1% en 2009.</w:t>
      </w:r>
    </w:p>
    <w:p w:rsidR="003B716B" w:rsidRPr="007F1538" w:rsidRDefault="003B716B" w:rsidP="003B716B">
      <w:pPr>
        <w:rPr>
          <w:rFonts w:cs="Arial"/>
          <w:lang w:val="fr-FR"/>
        </w:rPr>
      </w:pPr>
    </w:p>
    <w:p w:rsidR="003B716B" w:rsidRPr="007F1538" w:rsidRDefault="007F1538" w:rsidP="003B716B">
      <w:pPr>
        <w:rPr>
          <w:rFonts w:cs="Arial"/>
          <w:lang w:val="fr-FR"/>
        </w:rPr>
      </w:pPr>
      <w:r w:rsidRPr="007F1538">
        <w:rPr>
          <w:rFonts w:cs="Arial"/>
          <w:lang w:val="fr-FR"/>
        </w:rPr>
        <w:t xml:space="preserve">Par ailleurs, près de </w:t>
      </w:r>
      <w:r w:rsidR="00403C2A">
        <w:rPr>
          <w:rFonts w:cs="Arial"/>
          <w:lang w:val="fr-FR"/>
        </w:rPr>
        <w:t>661</w:t>
      </w:r>
      <w:r w:rsidRPr="007F1538">
        <w:rPr>
          <w:rFonts w:cs="Arial"/>
          <w:lang w:val="fr-FR"/>
        </w:rPr>
        <w:t xml:space="preserve"> demandeurs d’emploi ont suivi une formation de l’IFP et de ses partenaires.</w:t>
      </w:r>
      <w:r w:rsidR="003B716B" w:rsidRPr="007F1538">
        <w:rPr>
          <w:rFonts w:cs="Arial"/>
          <w:lang w:val="fr-FR"/>
        </w:rPr>
        <w:t xml:space="preserve"> </w:t>
      </w:r>
      <w:r w:rsidR="00403C2A" w:rsidRPr="00403C2A">
        <w:rPr>
          <w:rFonts w:cs="Arial"/>
          <w:lang w:val="fr-FR"/>
        </w:rPr>
        <w:t>De plus, à</w:t>
      </w:r>
      <w:r w:rsidR="008760A4" w:rsidRPr="00403C2A">
        <w:rPr>
          <w:rFonts w:cs="Arial"/>
          <w:lang w:val="fr-FR"/>
        </w:rPr>
        <w:t xml:space="preserve"> lui seul, FormAlim a formé 1.670 demandeurs d’emploi en 2009.</w:t>
      </w:r>
      <w:r w:rsidR="008760A4">
        <w:rPr>
          <w:rFonts w:cs="Arial"/>
          <w:lang w:val="fr-FR"/>
        </w:rPr>
        <w:t xml:space="preserve">  </w:t>
      </w:r>
      <w:r w:rsidR="00835AA3">
        <w:rPr>
          <w:rFonts w:cs="Arial"/>
          <w:lang w:val="fr-FR"/>
        </w:rPr>
        <w:t>Enfin</w:t>
      </w:r>
      <w:r w:rsidR="00403C2A" w:rsidRPr="00403C2A">
        <w:rPr>
          <w:rFonts w:cs="Arial"/>
          <w:lang w:val="fr-FR"/>
        </w:rPr>
        <w:t>,</w:t>
      </w:r>
      <w:r w:rsidRPr="00403C2A">
        <w:rPr>
          <w:rFonts w:cs="Arial"/>
          <w:lang w:val="fr-FR"/>
        </w:rPr>
        <w:t xml:space="preserve"> 422</w:t>
      </w:r>
      <w:r w:rsidRPr="007F1538">
        <w:rPr>
          <w:rFonts w:cs="Arial"/>
          <w:lang w:val="fr-FR"/>
        </w:rPr>
        <w:t xml:space="preserve"> </w:t>
      </w:r>
      <w:r w:rsidR="004A6BD7">
        <w:rPr>
          <w:rFonts w:cs="Arial"/>
          <w:lang w:val="fr-FR"/>
        </w:rPr>
        <w:t>élèves</w:t>
      </w:r>
      <w:r w:rsidRPr="007F1538">
        <w:rPr>
          <w:rFonts w:cs="Arial"/>
          <w:lang w:val="fr-FR"/>
        </w:rPr>
        <w:t xml:space="preserve"> ont </w:t>
      </w:r>
      <w:r w:rsidR="007E758D">
        <w:rPr>
          <w:rFonts w:cs="Arial"/>
          <w:lang w:val="fr-FR"/>
        </w:rPr>
        <w:t xml:space="preserve">également </w:t>
      </w:r>
      <w:r w:rsidRPr="007F1538">
        <w:rPr>
          <w:rFonts w:cs="Arial"/>
          <w:lang w:val="fr-FR"/>
        </w:rPr>
        <w:t xml:space="preserve">suivi une formation dans des orientations d’études sectorielles (environ 110 en alternance et 312 </w:t>
      </w:r>
      <w:r w:rsidR="00403C2A">
        <w:rPr>
          <w:rFonts w:cs="Arial"/>
          <w:lang w:val="fr-FR"/>
        </w:rPr>
        <w:t>en</w:t>
      </w:r>
      <w:r w:rsidRPr="007F1538">
        <w:rPr>
          <w:rFonts w:cs="Arial"/>
          <w:lang w:val="fr-FR"/>
        </w:rPr>
        <w:t xml:space="preserve"> plein exercice + 1.583 </w:t>
      </w:r>
      <w:r w:rsidR="004A6BD7">
        <w:rPr>
          <w:rFonts w:cs="Arial"/>
          <w:lang w:val="fr-FR"/>
        </w:rPr>
        <w:t xml:space="preserve">élèves inscrits </w:t>
      </w:r>
      <w:r w:rsidRPr="007F1538">
        <w:rPr>
          <w:rFonts w:cs="Arial"/>
          <w:lang w:val="fr-FR"/>
        </w:rPr>
        <w:t>en boulangerie).</w:t>
      </w:r>
    </w:p>
    <w:p w:rsidR="003B716B" w:rsidRPr="007F1538" w:rsidRDefault="003B716B" w:rsidP="003B716B">
      <w:pPr>
        <w:rPr>
          <w:rFonts w:cs="Arial"/>
          <w:lang w:val="fr-FR"/>
        </w:rPr>
      </w:pPr>
    </w:p>
    <w:p w:rsidR="003B716B" w:rsidRPr="007F1538" w:rsidRDefault="007F1538" w:rsidP="003B716B">
      <w:pPr>
        <w:rPr>
          <w:rFonts w:cs="Arial"/>
          <w:lang w:val="fr-FR"/>
        </w:rPr>
      </w:pPr>
      <w:r w:rsidRPr="007F1538">
        <w:rPr>
          <w:rFonts w:cs="Arial"/>
          <w:lang w:val="fr-FR"/>
        </w:rPr>
        <w:t xml:space="preserve">En 2009, l’IFP a atteint un total de 1.238 employeurs, soit près de 21.6%, ce qui représente une hausse de 13,8% par rapport à 2008, année lors de laquelle quelque 15% des employeurs </w:t>
      </w:r>
      <w:r w:rsidR="004C738C">
        <w:rPr>
          <w:rFonts w:cs="Arial"/>
          <w:lang w:val="fr-FR"/>
        </w:rPr>
        <w:t>avaient</w:t>
      </w:r>
      <w:r w:rsidRPr="007F1538">
        <w:rPr>
          <w:rFonts w:cs="Arial"/>
          <w:lang w:val="fr-FR"/>
        </w:rPr>
        <w:t xml:space="preserve"> été atteints.</w:t>
      </w:r>
    </w:p>
    <w:p w:rsidR="003B716B" w:rsidRPr="007F1538" w:rsidRDefault="003B716B" w:rsidP="003B716B">
      <w:pPr>
        <w:rPr>
          <w:rFonts w:cs="Arial"/>
          <w:lang w:val="fr-FR"/>
        </w:rPr>
      </w:pPr>
    </w:p>
    <w:p w:rsidR="003B716B" w:rsidRPr="007F1538" w:rsidRDefault="007A50E0" w:rsidP="007F1538">
      <w:pPr>
        <w:spacing w:after="120"/>
        <w:rPr>
          <w:rFonts w:cs="Arial"/>
          <w:lang w:val="fr-FR"/>
        </w:rPr>
      </w:pPr>
      <w:r>
        <w:rPr>
          <w:rFonts w:cs="Arial"/>
          <w:lang w:val="fr-FR"/>
        </w:rPr>
        <w:t>Tableau 5</w:t>
      </w:r>
      <w:r w:rsidR="007F1538" w:rsidRPr="007F1538">
        <w:rPr>
          <w:rFonts w:cs="Arial"/>
          <w:lang w:val="fr-FR"/>
        </w:rPr>
        <w:t> : Evolution couverture IFP 2004-2009</w:t>
      </w:r>
    </w:p>
    <w:tbl>
      <w:tblPr>
        <w:tblW w:w="9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9"/>
        <w:gridCol w:w="932"/>
        <w:gridCol w:w="1114"/>
        <w:gridCol w:w="1114"/>
        <w:gridCol w:w="1114"/>
        <w:gridCol w:w="1114"/>
        <w:gridCol w:w="1114"/>
      </w:tblGrid>
      <w:tr w:rsidR="003B716B" w:rsidRPr="007F1538" w:rsidTr="007F1538">
        <w:tc>
          <w:tcPr>
            <w:tcW w:w="2529" w:type="dxa"/>
          </w:tcPr>
          <w:p w:rsidR="003B716B" w:rsidRPr="007F1538" w:rsidRDefault="003B716B" w:rsidP="00A80232">
            <w:pPr>
              <w:spacing w:before="60"/>
              <w:rPr>
                <w:rFonts w:cs="Arial"/>
                <w:lang w:val="fr-FR"/>
              </w:rPr>
            </w:pPr>
          </w:p>
        </w:tc>
        <w:tc>
          <w:tcPr>
            <w:tcW w:w="932" w:type="dxa"/>
          </w:tcPr>
          <w:p w:rsidR="003B716B" w:rsidRPr="007F1538" w:rsidRDefault="003B716B" w:rsidP="00A80232">
            <w:pPr>
              <w:spacing w:before="60"/>
              <w:jc w:val="center"/>
              <w:rPr>
                <w:rFonts w:cs="Arial"/>
                <w:lang w:val="fr-FR"/>
              </w:rPr>
            </w:pPr>
            <w:r w:rsidRPr="007F1538">
              <w:rPr>
                <w:rFonts w:cs="Arial"/>
                <w:lang w:val="fr-FR"/>
              </w:rPr>
              <w:t>2004</w:t>
            </w:r>
          </w:p>
        </w:tc>
        <w:tc>
          <w:tcPr>
            <w:tcW w:w="1114" w:type="dxa"/>
          </w:tcPr>
          <w:p w:rsidR="003B716B" w:rsidRPr="007F1538" w:rsidRDefault="003B716B" w:rsidP="00A80232">
            <w:pPr>
              <w:spacing w:before="60"/>
              <w:jc w:val="center"/>
              <w:rPr>
                <w:rFonts w:cs="Arial"/>
                <w:lang w:val="fr-FR"/>
              </w:rPr>
            </w:pPr>
            <w:r w:rsidRPr="007F1538">
              <w:rPr>
                <w:rFonts w:cs="Arial"/>
                <w:lang w:val="fr-FR"/>
              </w:rPr>
              <w:t>2005</w:t>
            </w:r>
          </w:p>
        </w:tc>
        <w:tc>
          <w:tcPr>
            <w:tcW w:w="1114" w:type="dxa"/>
          </w:tcPr>
          <w:p w:rsidR="003B716B" w:rsidRPr="007F1538" w:rsidRDefault="003B716B" w:rsidP="00A80232">
            <w:pPr>
              <w:spacing w:before="60"/>
              <w:jc w:val="center"/>
              <w:rPr>
                <w:rFonts w:cs="Arial"/>
                <w:lang w:val="fr-FR"/>
              </w:rPr>
            </w:pPr>
            <w:r w:rsidRPr="007F1538">
              <w:rPr>
                <w:rFonts w:cs="Arial"/>
                <w:lang w:val="fr-FR"/>
              </w:rPr>
              <w:t>2006</w:t>
            </w:r>
          </w:p>
        </w:tc>
        <w:tc>
          <w:tcPr>
            <w:tcW w:w="1114" w:type="dxa"/>
          </w:tcPr>
          <w:p w:rsidR="003B716B" w:rsidRPr="007F1538" w:rsidRDefault="003B716B" w:rsidP="00A80232">
            <w:pPr>
              <w:spacing w:before="60"/>
              <w:jc w:val="center"/>
              <w:rPr>
                <w:rFonts w:cs="Arial"/>
                <w:lang w:val="fr-FR"/>
              </w:rPr>
            </w:pPr>
            <w:r w:rsidRPr="007F1538">
              <w:rPr>
                <w:rFonts w:cs="Arial"/>
                <w:lang w:val="fr-FR"/>
              </w:rPr>
              <w:t>2007</w:t>
            </w:r>
          </w:p>
        </w:tc>
        <w:tc>
          <w:tcPr>
            <w:tcW w:w="1114" w:type="dxa"/>
          </w:tcPr>
          <w:p w:rsidR="003B716B" w:rsidRPr="007F1538" w:rsidRDefault="003B716B" w:rsidP="00A80232">
            <w:pPr>
              <w:spacing w:before="60"/>
              <w:jc w:val="center"/>
              <w:rPr>
                <w:rFonts w:cs="Arial"/>
                <w:lang w:val="fr-FR"/>
              </w:rPr>
            </w:pPr>
            <w:r w:rsidRPr="007F1538">
              <w:rPr>
                <w:rFonts w:cs="Arial"/>
                <w:lang w:val="fr-FR"/>
              </w:rPr>
              <w:t>2008</w:t>
            </w:r>
          </w:p>
        </w:tc>
        <w:tc>
          <w:tcPr>
            <w:tcW w:w="1114" w:type="dxa"/>
          </w:tcPr>
          <w:p w:rsidR="003B716B" w:rsidRPr="007F1538" w:rsidRDefault="003B716B" w:rsidP="00A80232">
            <w:pPr>
              <w:spacing w:before="60"/>
              <w:jc w:val="center"/>
              <w:rPr>
                <w:rFonts w:cs="Arial"/>
                <w:lang w:val="fr-FR"/>
              </w:rPr>
            </w:pPr>
            <w:r w:rsidRPr="007F1538">
              <w:rPr>
                <w:rFonts w:cs="Arial"/>
                <w:lang w:val="fr-FR"/>
              </w:rPr>
              <w:t>2009</w:t>
            </w:r>
          </w:p>
        </w:tc>
      </w:tr>
      <w:tr w:rsidR="003B716B" w:rsidRPr="007F1538" w:rsidTr="007F1538">
        <w:tc>
          <w:tcPr>
            <w:tcW w:w="2529" w:type="dxa"/>
          </w:tcPr>
          <w:p w:rsidR="009251F9" w:rsidRPr="007F1538" w:rsidRDefault="007F1538" w:rsidP="007F1538">
            <w:pPr>
              <w:spacing w:before="60"/>
              <w:rPr>
                <w:rFonts w:cs="Arial"/>
                <w:lang w:val="fr-FR"/>
              </w:rPr>
            </w:pPr>
            <w:r w:rsidRPr="007F1538">
              <w:rPr>
                <w:rFonts w:cs="Arial"/>
                <w:lang w:val="fr-FR"/>
              </w:rPr>
              <w:t>Total participants</w:t>
            </w:r>
          </w:p>
          <w:p w:rsidR="00D45A82" w:rsidRPr="007F1538" w:rsidRDefault="007F1538" w:rsidP="00A0555E">
            <w:pPr>
              <w:spacing w:before="60"/>
              <w:rPr>
                <w:rFonts w:cs="Arial"/>
                <w:lang w:val="fr-FR"/>
              </w:rPr>
            </w:pPr>
            <w:r w:rsidRPr="007F1538">
              <w:rPr>
                <w:rFonts w:cs="Arial"/>
                <w:lang w:val="fr-FR"/>
              </w:rPr>
              <w:t>Participants CP118-220</w:t>
            </w:r>
          </w:p>
        </w:tc>
        <w:tc>
          <w:tcPr>
            <w:tcW w:w="932" w:type="dxa"/>
          </w:tcPr>
          <w:p w:rsidR="009251F9" w:rsidRPr="007F1538" w:rsidRDefault="009251F9" w:rsidP="00A80232">
            <w:pPr>
              <w:spacing w:before="60"/>
              <w:jc w:val="center"/>
              <w:rPr>
                <w:rFonts w:cs="Arial"/>
                <w:lang w:val="fr-FR"/>
              </w:rPr>
            </w:pPr>
          </w:p>
          <w:p w:rsidR="003B716B" w:rsidRPr="007F1538" w:rsidRDefault="003B716B" w:rsidP="00A80232">
            <w:pPr>
              <w:spacing w:before="60"/>
              <w:jc w:val="center"/>
              <w:rPr>
                <w:rFonts w:cs="Arial"/>
                <w:lang w:val="fr-FR"/>
              </w:rPr>
            </w:pPr>
            <w:r w:rsidRPr="007F1538">
              <w:rPr>
                <w:rFonts w:cs="Arial"/>
                <w:lang w:val="fr-FR"/>
              </w:rPr>
              <w:t>14.279</w:t>
            </w:r>
          </w:p>
        </w:tc>
        <w:tc>
          <w:tcPr>
            <w:tcW w:w="1114" w:type="dxa"/>
          </w:tcPr>
          <w:p w:rsidR="009251F9" w:rsidRPr="007F1538" w:rsidRDefault="009251F9" w:rsidP="00A80232">
            <w:pPr>
              <w:spacing w:before="60"/>
              <w:jc w:val="center"/>
              <w:rPr>
                <w:rFonts w:cs="Arial"/>
                <w:lang w:val="fr-FR"/>
              </w:rPr>
            </w:pPr>
          </w:p>
          <w:p w:rsidR="003B716B" w:rsidRPr="007F1538" w:rsidRDefault="003B716B" w:rsidP="00A80232">
            <w:pPr>
              <w:spacing w:before="60"/>
              <w:jc w:val="center"/>
              <w:rPr>
                <w:rFonts w:cs="Arial"/>
                <w:lang w:val="fr-FR"/>
              </w:rPr>
            </w:pPr>
            <w:r w:rsidRPr="007F1538">
              <w:rPr>
                <w:rFonts w:cs="Arial"/>
                <w:lang w:val="fr-FR"/>
              </w:rPr>
              <w:t>14.138</w:t>
            </w:r>
          </w:p>
        </w:tc>
        <w:tc>
          <w:tcPr>
            <w:tcW w:w="1114" w:type="dxa"/>
          </w:tcPr>
          <w:p w:rsidR="009251F9" w:rsidRPr="007F1538" w:rsidRDefault="009251F9" w:rsidP="00A80232">
            <w:pPr>
              <w:spacing w:before="60"/>
              <w:jc w:val="center"/>
              <w:rPr>
                <w:rFonts w:cs="Arial"/>
                <w:lang w:val="fr-FR"/>
              </w:rPr>
            </w:pPr>
          </w:p>
          <w:p w:rsidR="003B716B" w:rsidRPr="007F1538" w:rsidRDefault="003B716B" w:rsidP="00A80232">
            <w:pPr>
              <w:spacing w:before="60"/>
              <w:jc w:val="center"/>
              <w:rPr>
                <w:rFonts w:cs="Arial"/>
                <w:lang w:val="fr-FR"/>
              </w:rPr>
            </w:pPr>
            <w:r w:rsidRPr="007F1538">
              <w:rPr>
                <w:rFonts w:cs="Arial"/>
                <w:lang w:val="fr-FR"/>
              </w:rPr>
              <w:t>15.338</w:t>
            </w:r>
          </w:p>
        </w:tc>
        <w:tc>
          <w:tcPr>
            <w:tcW w:w="1114" w:type="dxa"/>
          </w:tcPr>
          <w:p w:rsidR="009251F9" w:rsidRPr="007F1538" w:rsidRDefault="009251F9" w:rsidP="00A80232">
            <w:pPr>
              <w:spacing w:before="60"/>
              <w:jc w:val="center"/>
              <w:rPr>
                <w:rFonts w:cs="Arial"/>
                <w:lang w:val="fr-FR"/>
              </w:rPr>
            </w:pPr>
          </w:p>
          <w:p w:rsidR="003B716B" w:rsidRPr="007F1538" w:rsidRDefault="003B716B" w:rsidP="00A80232">
            <w:pPr>
              <w:spacing w:before="60"/>
              <w:jc w:val="center"/>
              <w:rPr>
                <w:rFonts w:cs="Arial"/>
                <w:lang w:val="fr-FR"/>
              </w:rPr>
            </w:pPr>
            <w:r w:rsidRPr="007F1538">
              <w:rPr>
                <w:rFonts w:cs="Arial"/>
                <w:lang w:val="fr-FR"/>
              </w:rPr>
              <w:t>17.532</w:t>
            </w:r>
          </w:p>
        </w:tc>
        <w:tc>
          <w:tcPr>
            <w:tcW w:w="1114" w:type="dxa"/>
          </w:tcPr>
          <w:p w:rsidR="009251F9" w:rsidRPr="007F1538" w:rsidRDefault="009251F9" w:rsidP="00A80232">
            <w:pPr>
              <w:spacing w:before="60"/>
              <w:jc w:val="center"/>
              <w:rPr>
                <w:rFonts w:cs="Arial"/>
                <w:lang w:val="fr-FR"/>
              </w:rPr>
            </w:pPr>
          </w:p>
          <w:p w:rsidR="003B716B" w:rsidRPr="007F1538" w:rsidRDefault="003B716B" w:rsidP="00A80232">
            <w:pPr>
              <w:spacing w:before="60"/>
              <w:jc w:val="center"/>
              <w:rPr>
                <w:rFonts w:cs="Arial"/>
                <w:lang w:val="fr-FR"/>
              </w:rPr>
            </w:pPr>
            <w:r w:rsidRPr="007F1538">
              <w:rPr>
                <w:rFonts w:cs="Arial"/>
                <w:lang w:val="fr-FR"/>
              </w:rPr>
              <w:t>19.904</w:t>
            </w:r>
          </w:p>
        </w:tc>
        <w:tc>
          <w:tcPr>
            <w:tcW w:w="1114" w:type="dxa"/>
          </w:tcPr>
          <w:p w:rsidR="009251F9" w:rsidRPr="007F1538" w:rsidRDefault="009251F9" w:rsidP="009251F9">
            <w:pPr>
              <w:spacing w:before="60"/>
              <w:jc w:val="right"/>
              <w:rPr>
                <w:rFonts w:cs="Arial"/>
                <w:lang w:val="fr-FR" w:eastAsia="en-US"/>
              </w:rPr>
            </w:pPr>
            <w:r w:rsidRPr="007F1538">
              <w:rPr>
                <w:rFonts w:cs="Arial"/>
                <w:lang w:val="fr-FR" w:eastAsia="en-US"/>
              </w:rPr>
              <w:t>26.464</w:t>
            </w:r>
          </w:p>
          <w:tbl>
            <w:tblPr>
              <w:tblW w:w="960" w:type="dxa"/>
              <w:tblLayout w:type="fixed"/>
              <w:tblLook w:val="04A0"/>
            </w:tblPr>
            <w:tblGrid>
              <w:gridCol w:w="960"/>
            </w:tblGrid>
            <w:tr w:rsidR="003B716B" w:rsidRPr="007F1538" w:rsidTr="00A80232">
              <w:trPr>
                <w:trHeight w:val="255"/>
              </w:trPr>
              <w:tc>
                <w:tcPr>
                  <w:tcW w:w="960" w:type="dxa"/>
                  <w:tcBorders>
                    <w:top w:val="nil"/>
                    <w:left w:val="nil"/>
                    <w:bottom w:val="nil"/>
                    <w:right w:val="nil"/>
                  </w:tcBorders>
                  <w:shd w:val="clear" w:color="auto" w:fill="auto"/>
                  <w:noWrap/>
                  <w:vAlign w:val="bottom"/>
                  <w:hideMark/>
                </w:tcPr>
                <w:p w:rsidR="00D45A82" w:rsidRPr="007F1538" w:rsidRDefault="003B716B" w:rsidP="00A0555E">
                  <w:pPr>
                    <w:spacing w:before="60"/>
                    <w:jc w:val="right"/>
                    <w:rPr>
                      <w:rFonts w:cs="Arial"/>
                      <w:lang w:val="fr-FR" w:eastAsia="en-US"/>
                    </w:rPr>
                  </w:pPr>
                  <w:r w:rsidRPr="007F1538">
                    <w:rPr>
                      <w:rFonts w:cs="Arial"/>
                      <w:lang w:val="fr-FR" w:eastAsia="en-US"/>
                    </w:rPr>
                    <w:t>24.164</w:t>
                  </w:r>
                </w:p>
              </w:tc>
            </w:tr>
          </w:tbl>
          <w:p w:rsidR="003B716B" w:rsidRPr="007F1538" w:rsidRDefault="003B716B" w:rsidP="009251F9">
            <w:pPr>
              <w:spacing w:before="60"/>
              <w:jc w:val="right"/>
              <w:rPr>
                <w:rFonts w:cs="Arial"/>
                <w:lang w:val="fr-FR" w:eastAsia="en-US"/>
              </w:rPr>
            </w:pPr>
          </w:p>
        </w:tc>
      </w:tr>
      <w:tr w:rsidR="003B716B" w:rsidRPr="007F1538" w:rsidTr="007F1538">
        <w:tc>
          <w:tcPr>
            <w:tcW w:w="2529" w:type="dxa"/>
          </w:tcPr>
          <w:p w:rsidR="003B716B" w:rsidRPr="007F1538" w:rsidRDefault="007F1538" w:rsidP="00690B4E">
            <w:pPr>
              <w:spacing w:before="60"/>
              <w:rPr>
                <w:rFonts w:cs="Arial"/>
                <w:lang w:val="fr-FR"/>
              </w:rPr>
            </w:pPr>
            <w:r w:rsidRPr="007F1538">
              <w:rPr>
                <w:rFonts w:cs="Arial"/>
                <w:lang w:val="fr-FR"/>
              </w:rPr>
              <w:t>Travailleurs CP118-220</w:t>
            </w:r>
          </w:p>
        </w:tc>
        <w:tc>
          <w:tcPr>
            <w:tcW w:w="932" w:type="dxa"/>
          </w:tcPr>
          <w:p w:rsidR="003B716B" w:rsidRPr="007F1538" w:rsidRDefault="003B716B" w:rsidP="00A80232">
            <w:pPr>
              <w:spacing w:before="60"/>
              <w:jc w:val="center"/>
              <w:rPr>
                <w:rFonts w:cs="Arial"/>
                <w:lang w:val="fr-FR"/>
              </w:rPr>
            </w:pPr>
            <w:r w:rsidRPr="007F1538">
              <w:rPr>
                <w:rFonts w:cs="Arial"/>
                <w:lang w:val="fr-FR"/>
              </w:rPr>
              <w:t>8.766</w:t>
            </w:r>
          </w:p>
        </w:tc>
        <w:tc>
          <w:tcPr>
            <w:tcW w:w="1114" w:type="dxa"/>
          </w:tcPr>
          <w:p w:rsidR="003B716B" w:rsidRPr="007F1538" w:rsidRDefault="003B716B" w:rsidP="00A80232">
            <w:pPr>
              <w:spacing w:before="60"/>
              <w:jc w:val="center"/>
              <w:rPr>
                <w:rFonts w:cs="Arial"/>
                <w:lang w:val="fr-FR"/>
              </w:rPr>
            </w:pPr>
            <w:r w:rsidRPr="007F1538">
              <w:rPr>
                <w:rFonts w:cs="Arial"/>
                <w:lang w:val="fr-FR"/>
              </w:rPr>
              <w:t>10.130</w:t>
            </w:r>
          </w:p>
        </w:tc>
        <w:tc>
          <w:tcPr>
            <w:tcW w:w="1114" w:type="dxa"/>
          </w:tcPr>
          <w:p w:rsidR="003B716B" w:rsidRPr="007F1538" w:rsidRDefault="003B716B" w:rsidP="00A80232">
            <w:pPr>
              <w:spacing w:before="60"/>
              <w:jc w:val="center"/>
              <w:rPr>
                <w:rFonts w:cs="Arial"/>
                <w:lang w:val="fr-FR"/>
              </w:rPr>
            </w:pPr>
            <w:r w:rsidRPr="007F1538">
              <w:rPr>
                <w:rFonts w:cs="Arial"/>
                <w:lang w:val="fr-FR"/>
              </w:rPr>
              <w:t>10.628</w:t>
            </w:r>
          </w:p>
        </w:tc>
        <w:tc>
          <w:tcPr>
            <w:tcW w:w="1114" w:type="dxa"/>
          </w:tcPr>
          <w:p w:rsidR="003B716B" w:rsidRPr="007F1538" w:rsidRDefault="003B716B" w:rsidP="00A80232">
            <w:pPr>
              <w:spacing w:before="60"/>
              <w:jc w:val="center"/>
              <w:rPr>
                <w:rFonts w:cs="Arial"/>
                <w:lang w:val="fr-FR"/>
              </w:rPr>
            </w:pPr>
            <w:r w:rsidRPr="007F1538">
              <w:rPr>
                <w:rFonts w:cs="Arial"/>
                <w:lang w:val="fr-FR"/>
              </w:rPr>
              <w:t>12.167</w:t>
            </w:r>
          </w:p>
        </w:tc>
        <w:tc>
          <w:tcPr>
            <w:tcW w:w="1114" w:type="dxa"/>
          </w:tcPr>
          <w:p w:rsidR="003B716B" w:rsidRPr="007F1538" w:rsidRDefault="003B716B" w:rsidP="00A80232">
            <w:pPr>
              <w:spacing w:before="60"/>
              <w:jc w:val="center"/>
              <w:rPr>
                <w:rFonts w:cs="Arial"/>
                <w:lang w:val="fr-FR"/>
              </w:rPr>
            </w:pPr>
            <w:r w:rsidRPr="007F1538">
              <w:rPr>
                <w:rFonts w:cs="Arial"/>
                <w:lang w:val="fr-FR"/>
              </w:rPr>
              <w:t>12.843</w:t>
            </w:r>
          </w:p>
        </w:tc>
        <w:tc>
          <w:tcPr>
            <w:tcW w:w="1114" w:type="dxa"/>
          </w:tcPr>
          <w:p w:rsidR="003B716B" w:rsidRPr="007F1538" w:rsidRDefault="003B716B" w:rsidP="00A80232">
            <w:pPr>
              <w:spacing w:before="60"/>
              <w:jc w:val="center"/>
              <w:rPr>
                <w:rFonts w:cs="Arial"/>
                <w:lang w:val="fr-FR"/>
              </w:rPr>
            </w:pPr>
            <w:r w:rsidRPr="007F1538">
              <w:rPr>
                <w:rFonts w:cs="Arial"/>
                <w:lang w:val="fr-FR" w:eastAsia="en-US"/>
              </w:rPr>
              <w:t>15.394</w:t>
            </w:r>
          </w:p>
        </w:tc>
      </w:tr>
      <w:tr w:rsidR="006D1A82" w:rsidRPr="007F1538" w:rsidTr="007F1538">
        <w:tc>
          <w:tcPr>
            <w:tcW w:w="2529" w:type="dxa"/>
          </w:tcPr>
          <w:p w:rsidR="006D1A82" w:rsidRPr="007F1538" w:rsidRDefault="007F1538" w:rsidP="00690B4E">
            <w:pPr>
              <w:spacing w:before="60"/>
              <w:rPr>
                <w:rFonts w:cs="Arial"/>
                <w:lang w:val="fr-FR"/>
              </w:rPr>
            </w:pPr>
            <w:r w:rsidRPr="007F1538">
              <w:rPr>
                <w:rFonts w:cs="Arial"/>
                <w:lang w:val="fr-FR"/>
              </w:rPr>
              <w:t>Employeurs CP 118-220</w:t>
            </w:r>
          </w:p>
        </w:tc>
        <w:tc>
          <w:tcPr>
            <w:tcW w:w="932" w:type="dxa"/>
          </w:tcPr>
          <w:p w:rsidR="006D1A82" w:rsidRPr="007F1538" w:rsidRDefault="006D1A82" w:rsidP="00D86360">
            <w:pPr>
              <w:spacing w:before="60"/>
              <w:jc w:val="center"/>
              <w:rPr>
                <w:rFonts w:cs="Arial"/>
                <w:lang w:val="fr-FR"/>
              </w:rPr>
            </w:pPr>
            <w:r w:rsidRPr="007F1538">
              <w:rPr>
                <w:rFonts w:cs="Arial"/>
                <w:lang w:val="fr-FR"/>
              </w:rPr>
              <w:t>770</w:t>
            </w:r>
          </w:p>
        </w:tc>
        <w:tc>
          <w:tcPr>
            <w:tcW w:w="1114" w:type="dxa"/>
          </w:tcPr>
          <w:p w:rsidR="006D1A82" w:rsidRPr="007F1538" w:rsidRDefault="006D1A82" w:rsidP="00D86360">
            <w:pPr>
              <w:spacing w:before="60"/>
              <w:jc w:val="center"/>
              <w:rPr>
                <w:rFonts w:cs="Arial"/>
                <w:lang w:val="fr-FR"/>
              </w:rPr>
            </w:pPr>
            <w:r w:rsidRPr="007F1538">
              <w:rPr>
                <w:rFonts w:cs="Arial"/>
                <w:lang w:val="fr-FR"/>
              </w:rPr>
              <w:t>746</w:t>
            </w:r>
          </w:p>
        </w:tc>
        <w:tc>
          <w:tcPr>
            <w:tcW w:w="1114" w:type="dxa"/>
          </w:tcPr>
          <w:p w:rsidR="006D1A82" w:rsidRPr="007F1538" w:rsidRDefault="006D1A82" w:rsidP="00D86360">
            <w:pPr>
              <w:spacing w:before="60"/>
              <w:jc w:val="center"/>
              <w:rPr>
                <w:rFonts w:cs="Arial"/>
                <w:lang w:val="fr-FR"/>
              </w:rPr>
            </w:pPr>
            <w:r w:rsidRPr="007F1538">
              <w:rPr>
                <w:rFonts w:cs="Arial"/>
                <w:lang w:val="fr-FR"/>
              </w:rPr>
              <w:t>784</w:t>
            </w:r>
          </w:p>
        </w:tc>
        <w:tc>
          <w:tcPr>
            <w:tcW w:w="1114" w:type="dxa"/>
          </w:tcPr>
          <w:p w:rsidR="006D1A82" w:rsidRPr="007F1538" w:rsidRDefault="006D1A82" w:rsidP="00D86360">
            <w:pPr>
              <w:spacing w:before="60"/>
              <w:jc w:val="center"/>
              <w:rPr>
                <w:rFonts w:cs="Arial"/>
                <w:lang w:val="fr-FR"/>
              </w:rPr>
            </w:pPr>
            <w:r w:rsidRPr="007F1538">
              <w:rPr>
                <w:rFonts w:cs="Arial"/>
                <w:lang w:val="fr-FR"/>
              </w:rPr>
              <w:t>809</w:t>
            </w:r>
          </w:p>
        </w:tc>
        <w:tc>
          <w:tcPr>
            <w:tcW w:w="1114" w:type="dxa"/>
          </w:tcPr>
          <w:p w:rsidR="006D1A82" w:rsidRPr="007F1538" w:rsidRDefault="006D1A82" w:rsidP="00D86360">
            <w:pPr>
              <w:spacing w:before="60"/>
              <w:jc w:val="center"/>
              <w:rPr>
                <w:rFonts w:cs="Arial"/>
                <w:lang w:val="fr-FR"/>
              </w:rPr>
            </w:pPr>
            <w:r w:rsidRPr="007F1538">
              <w:rPr>
                <w:rFonts w:cs="Arial"/>
                <w:lang w:val="fr-FR"/>
              </w:rPr>
              <w:t>851</w:t>
            </w:r>
          </w:p>
        </w:tc>
        <w:tc>
          <w:tcPr>
            <w:tcW w:w="1114" w:type="dxa"/>
          </w:tcPr>
          <w:p w:rsidR="006D1A82" w:rsidRPr="007F1538" w:rsidRDefault="006D1A82" w:rsidP="00D86360">
            <w:pPr>
              <w:spacing w:before="60"/>
              <w:jc w:val="center"/>
              <w:rPr>
                <w:rFonts w:cs="Arial"/>
                <w:lang w:val="fr-FR"/>
              </w:rPr>
            </w:pPr>
            <w:r w:rsidRPr="007F1538">
              <w:rPr>
                <w:rFonts w:cs="Arial"/>
                <w:lang w:val="fr-FR"/>
              </w:rPr>
              <w:t>1.238</w:t>
            </w:r>
          </w:p>
        </w:tc>
      </w:tr>
      <w:tr w:rsidR="003B716B" w:rsidRPr="007F1538" w:rsidTr="007F1538">
        <w:tc>
          <w:tcPr>
            <w:tcW w:w="2529" w:type="dxa"/>
          </w:tcPr>
          <w:p w:rsidR="003B716B" w:rsidRPr="007F1538" w:rsidRDefault="007F1538" w:rsidP="00690B4E">
            <w:pPr>
              <w:spacing w:before="60"/>
              <w:rPr>
                <w:rFonts w:cs="Arial"/>
                <w:lang w:val="fr-FR"/>
              </w:rPr>
            </w:pPr>
            <w:r w:rsidRPr="007F1538">
              <w:rPr>
                <w:rFonts w:cs="Arial"/>
                <w:lang w:val="fr-FR"/>
              </w:rPr>
              <w:t>Intérimaires</w:t>
            </w:r>
          </w:p>
        </w:tc>
        <w:tc>
          <w:tcPr>
            <w:tcW w:w="932" w:type="dxa"/>
          </w:tcPr>
          <w:p w:rsidR="003B716B" w:rsidRPr="007F1538" w:rsidRDefault="003B716B" w:rsidP="00A80232">
            <w:pPr>
              <w:spacing w:before="60"/>
              <w:jc w:val="center"/>
              <w:rPr>
                <w:rFonts w:cs="Arial"/>
                <w:lang w:val="fr-FR"/>
              </w:rPr>
            </w:pPr>
          </w:p>
        </w:tc>
        <w:tc>
          <w:tcPr>
            <w:tcW w:w="1114" w:type="dxa"/>
          </w:tcPr>
          <w:p w:rsidR="003B716B" w:rsidRPr="007F1538" w:rsidRDefault="003B716B" w:rsidP="00A80232">
            <w:pPr>
              <w:spacing w:before="60"/>
              <w:jc w:val="center"/>
              <w:rPr>
                <w:rFonts w:cs="Arial"/>
                <w:lang w:val="fr-FR"/>
              </w:rPr>
            </w:pPr>
          </w:p>
        </w:tc>
        <w:tc>
          <w:tcPr>
            <w:tcW w:w="1114" w:type="dxa"/>
          </w:tcPr>
          <w:p w:rsidR="003B716B" w:rsidRPr="007F1538" w:rsidRDefault="003B716B" w:rsidP="00A80232">
            <w:pPr>
              <w:spacing w:before="60"/>
              <w:jc w:val="center"/>
              <w:rPr>
                <w:rFonts w:cs="Arial"/>
                <w:lang w:val="fr-FR"/>
              </w:rPr>
            </w:pPr>
          </w:p>
        </w:tc>
        <w:tc>
          <w:tcPr>
            <w:tcW w:w="1114" w:type="dxa"/>
          </w:tcPr>
          <w:p w:rsidR="003B716B" w:rsidRPr="007F1538" w:rsidRDefault="003B716B" w:rsidP="00A80232">
            <w:pPr>
              <w:spacing w:before="60"/>
              <w:jc w:val="center"/>
              <w:rPr>
                <w:rFonts w:cs="Arial"/>
                <w:lang w:val="fr-FR"/>
              </w:rPr>
            </w:pPr>
          </w:p>
        </w:tc>
        <w:tc>
          <w:tcPr>
            <w:tcW w:w="1114" w:type="dxa"/>
          </w:tcPr>
          <w:p w:rsidR="003B716B" w:rsidRPr="007F1538" w:rsidRDefault="003B716B" w:rsidP="00A80232">
            <w:pPr>
              <w:spacing w:before="60"/>
              <w:jc w:val="center"/>
              <w:rPr>
                <w:rFonts w:cs="Arial"/>
                <w:lang w:val="fr-FR"/>
              </w:rPr>
            </w:pPr>
            <w:r w:rsidRPr="007F1538">
              <w:rPr>
                <w:rFonts w:cs="Arial"/>
                <w:lang w:val="fr-FR"/>
              </w:rPr>
              <w:t>372</w:t>
            </w:r>
          </w:p>
        </w:tc>
        <w:tc>
          <w:tcPr>
            <w:tcW w:w="1114" w:type="dxa"/>
          </w:tcPr>
          <w:p w:rsidR="003B716B" w:rsidRPr="007F1538" w:rsidRDefault="003B716B" w:rsidP="00A80232">
            <w:pPr>
              <w:spacing w:before="60"/>
              <w:jc w:val="center"/>
              <w:rPr>
                <w:rFonts w:cs="Arial"/>
                <w:lang w:val="fr-FR"/>
              </w:rPr>
            </w:pPr>
            <w:r w:rsidRPr="007F1538">
              <w:rPr>
                <w:rFonts w:cs="Arial"/>
                <w:lang w:val="fr-FR"/>
              </w:rPr>
              <w:t>564</w:t>
            </w:r>
          </w:p>
        </w:tc>
      </w:tr>
      <w:tr w:rsidR="003B716B" w:rsidRPr="007F1538" w:rsidTr="007F1538">
        <w:tc>
          <w:tcPr>
            <w:tcW w:w="2529" w:type="dxa"/>
          </w:tcPr>
          <w:p w:rsidR="003B716B" w:rsidRPr="007F1538" w:rsidRDefault="007F1538" w:rsidP="007F1538">
            <w:pPr>
              <w:spacing w:before="60"/>
              <w:rPr>
                <w:rFonts w:cs="Arial"/>
                <w:lang w:val="fr-FR"/>
              </w:rPr>
            </w:pPr>
            <w:r w:rsidRPr="007F1538">
              <w:rPr>
                <w:rFonts w:cs="Arial"/>
                <w:lang w:val="fr-FR"/>
              </w:rPr>
              <w:t>Demandeurs d’emploi</w:t>
            </w:r>
          </w:p>
          <w:p w:rsidR="003B716B" w:rsidRPr="007F1538" w:rsidRDefault="003B716B" w:rsidP="00A80232">
            <w:pPr>
              <w:spacing w:before="60"/>
              <w:rPr>
                <w:rFonts w:cs="Arial"/>
                <w:lang w:val="fr-FR"/>
              </w:rPr>
            </w:pPr>
          </w:p>
        </w:tc>
        <w:tc>
          <w:tcPr>
            <w:tcW w:w="932" w:type="dxa"/>
          </w:tcPr>
          <w:p w:rsidR="003B716B" w:rsidRPr="007F1538" w:rsidRDefault="003B716B" w:rsidP="00A80232">
            <w:pPr>
              <w:spacing w:before="60"/>
              <w:jc w:val="center"/>
              <w:rPr>
                <w:rFonts w:cs="Arial"/>
                <w:lang w:val="fr-FR"/>
              </w:rPr>
            </w:pPr>
            <w:r w:rsidRPr="007F1538">
              <w:rPr>
                <w:rFonts w:cs="Arial"/>
                <w:lang w:val="fr-FR"/>
              </w:rPr>
              <w:t>476</w:t>
            </w:r>
          </w:p>
          <w:p w:rsidR="003B716B" w:rsidRPr="007F1538" w:rsidRDefault="003B716B" w:rsidP="00A80232">
            <w:pPr>
              <w:spacing w:before="60"/>
              <w:jc w:val="center"/>
              <w:rPr>
                <w:rFonts w:cs="Arial"/>
                <w:lang w:val="fr-FR"/>
              </w:rPr>
            </w:pPr>
            <w:r w:rsidRPr="007F1538">
              <w:rPr>
                <w:rFonts w:cs="Arial"/>
                <w:lang w:val="fr-FR"/>
              </w:rPr>
              <w:t>+ 717*</w:t>
            </w:r>
          </w:p>
        </w:tc>
        <w:tc>
          <w:tcPr>
            <w:tcW w:w="1114" w:type="dxa"/>
          </w:tcPr>
          <w:p w:rsidR="003B716B" w:rsidRPr="007F1538" w:rsidRDefault="003B716B" w:rsidP="00A80232">
            <w:pPr>
              <w:spacing w:before="60"/>
              <w:jc w:val="center"/>
              <w:rPr>
                <w:rFonts w:cs="Arial"/>
                <w:lang w:val="fr-FR"/>
              </w:rPr>
            </w:pPr>
            <w:r w:rsidRPr="007F1538">
              <w:rPr>
                <w:rFonts w:cs="Arial"/>
                <w:lang w:val="fr-FR"/>
              </w:rPr>
              <w:t>728</w:t>
            </w:r>
          </w:p>
          <w:p w:rsidR="003B716B" w:rsidRPr="007F1538" w:rsidRDefault="003B716B" w:rsidP="00A80232">
            <w:pPr>
              <w:spacing w:before="60"/>
              <w:jc w:val="center"/>
              <w:rPr>
                <w:rFonts w:cs="Arial"/>
                <w:lang w:val="fr-FR"/>
              </w:rPr>
            </w:pPr>
            <w:r w:rsidRPr="007F1538">
              <w:rPr>
                <w:rFonts w:cs="Arial"/>
                <w:lang w:val="fr-FR"/>
              </w:rPr>
              <w:t>+ 1.178*</w:t>
            </w:r>
          </w:p>
        </w:tc>
        <w:tc>
          <w:tcPr>
            <w:tcW w:w="1114" w:type="dxa"/>
          </w:tcPr>
          <w:p w:rsidR="003B716B" w:rsidRPr="007F1538" w:rsidRDefault="003B716B" w:rsidP="00A80232">
            <w:pPr>
              <w:spacing w:before="60"/>
              <w:jc w:val="center"/>
              <w:rPr>
                <w:rFonts w:cs="Arial"/>
                <w:lang w:val="fr-FR"/>
              </w:rPr>
            </w:pPr>
            <w:r w:rsidRPr="007F1538">
              <w:rPr>
                <w:rFonts w:cs="Arial"/>
                <w:lang w:val="fr-FR"/>
              </w:rPr>
              <w:t>367</w:t>
            </w:r>
          </w:p>
          <w:p w:rsidR="003B716B" w:rsidRPr="007F1538" w:rsidRDefault="003B716B" w:rsidP="00A80232">
            <w:pPr>
              <w:spacing w:before="60"/>
              <w:jc w:val="center"/>
              <w:rPr>
                <w:rFonts w:cs="Arial"/>
                <w:lang w:val="fr-FR"/>
              </w:rPr>
            </w:pPr>
            <w:r w:rsidRPr="007F1538">
              <w:rPr>
                <w:rFonts w:cs="Arial"/>
                <w:lang w:val="fr-FR"/>
              </w:rPr>
              <w:t>+ 932*</w:t>
            </w:r>
          </w:p>
        </w:tc>
        <w:tc>
          <w:tcPr>
            <w:tcW w:w="1114" w:type="dxa"/>
          </w:tcPr>
          <w:p w:rsidR="003B716B" w:rsidRPr="007F1538" w:rsidRDefault="003B716B" w:rsidP="00A80232">
            <w:pPr>
              <w:spacing w:before="60"/>
              <w:jc w:val="center"/>
              <w:rPr>
                <w:rFonts w:cs="Arial"/>
                <w:lang w:val="fr-FR"/>
              </w:rPr>
            </w:pPr>
            <w:r w:rsidRPr="007F1538">
              <w:rPr>
                <w:rFonts w:cs="Arial"/>
                <w:lang w:val="fr-FR"/>
              </w:rPr>
              <w:t>627</w:t>
            </w:r>
          </w:p>
          <w:p w:rsidR="003B716B" w:rsidRPr="007F1538" w:rsidRDefault="003B716B" w:rsidP="00A80232">
            <w:pPr>
              <w:spacing w:before="60"/>
              <w:jc w:val="center"/>
              <w:rPr>
                <w:rFonts w:cs="Arial"/>
                <w:lang w:val="fr-FR"/>
              </w:rPr>
            </w:pPr>
            <w:r w:rsidRPr="007F1538">
              <w:rPr>
                <w:rFonts w:cs="Arial"/>
                <w:lang w:val="fr-FR"/>
              </w:rPr>
              <w:t>+ 1.053*</w:t>
            </w:r>
          </w:p>
          <w:p w:rsidR="003B716B" w:rsidRPr="007F1538" w:rsidRDefault="003B716B" w:rsidP="00A80232">
            <w:pPr>
              <w:spacing w:before="60"/>
              <w:jc w:val="center"/>
              <w:rPr>
                <w:rFonts w:cs="Arial"/>
                <w:lang w:val="fr-FR"/>
              </w:rPr>
            </w:pPr>
            <w:r w:rsidRPr="007F1538">
              <w:rPr>
                <w:rFonts w:cs="Arial"/>
                <w:lang w:val="fr-FR"/>
              </w:rPr>
              <w:t>+ 495**</w:t>
            </w:r>
          </w:p>
        </w:tc>
        <w:tc>
          <w:tcPr>
            <w:tcW w:w="1114" w:type="dxa"/>
          </w:tcPr>
          <w:p w:rsidR="003B716B" w:rsidRPr="007F1538" w:rsidRDefault="003B716B" w:rsidP="00A80232">
            <w:pPr>
              <w:spacing w:before="60"/>
              <w:jc w:val="center"/>
              <w:rPr>
                <w:rFonts w:cs="Arial"/>
                <w:lang w:val="fr-FR"/>
              </w:rPr>
            </w:pPr>
            <w:r w:rsidRPr="007F1538">
              <w:rPr>
                <w:rFonts w:cs="Arial"/>
                <w:lang w:val="fr-FR"/>
              </w:rPr>
              <w:t>593</w:t>
            </w:r>
          </w:p>
          <w:p w:rsidR="003B716B" w:rsidRPr="007F1538" w:rsidRDefault="003B716B" w:rsidP="00A80232">
            <w:pPr>
              <w:spacing w:before="60"/>
              <w:jc w:val="center"/>
              <w:rPr>
                <w:rFonts w:cs="Arial"/>
                <w:lang w:val="fr-FR"/>
              </w:rPr>
            </w:pPr>
            <w:r w:rsidRPr="007F1538">
              <w:rPr>
                <w:rFonts w:cs="Arial"/>
                <w:lang w:val="fr-FR"/>
              </w:rPr>
              <w:t>+ 1.029*</w:t>
            </w:r>
          </w:p>
          <w:p w:rsidR="003B716B" w:rsidRPr="007F1538" w:rsidRDefault="003B716B" w:rsidP="00A80232">
            <w:pPr>
              <w:spacing w:before="60"/>
              <w:jc w:val="center"/>
              <w:rPr>
                <w:rFonts w:cs="Arial"/>
                <w:lang w:val="fr-FR"/>
              </w:rPr>
            </w:pPr>
            <w:r w:rsidRPr="007F1538">
              <w:rPr>
                <w:rFonts w:cs="Arial"/>
                <w:lang w:val="fr-FR"/>
              </w:rPr>
              <w:t>+ 407**</w:t>
            </w:r>
          </w:p>
        </w:tc>
        <w:tc>
          <w:tcPr>
            <w:tcW w:w="1114" w:type="dxa"/>
          </w:tcPr>
          <w:p w:rsidR="003B716B" w:rsidRPr="007F1538" w:rsidRDefault="003B716B" w:rsidP="00A80232">
            <w:pPr>
              <w:spacing w:before="60"/>
              <w:jc w:val="center"/>
              <w:rPr>
                <w:rFonts w:cs="Arial"/>
                <w:lang w:val="fr-FR"/>
              </w:rPr>
            </w:pPr>
            <w:r w:rsidRPr="007F1538">
              <w:rPr>
                <w:rFonts w:cs="Arial"/>
                <w:lang w:val="fr-FR"/>
              </w:rPr>
              <w:t>6</w:t>
            </w:r>
            <w:r w:rsidR="004662F5">
              <w:rPr>
                <w:rFonts w:cs="Arial"/>
                <w:lang w:val="fr-FR"/>
              </w:rPr>
              <w:t>61</w:t>
            </w:r>
          </w:p>
          <w:p w:rsidR="003B716B" w:rsidRPr="007F1538" w:rsidRDefault="003B716B" w:rsidP="00A80232">
            <w:pPr>
              <w:spacing w:before="60"/>
              <w:jc w:val="center"/>
              <w:rPr>
                <w:rFonts w:cs="Arial"/>
                <w:lang w:val="fr-FR"/>
              </w:rPr>
            </w:pPr>
            <w:r w:rsidRPr="007F1538">
              <w:rPr>
                <w:rFonts w:cs="Arial"/>
                <w:lang w:val="fr-FR"/>
              </w:rPr>
              <w:t>+ 1.670*</w:t>
            </w:r>
          </w:p>
          <w:p w:rsidR="003B716B" w:rsidRPr="007F1538" w:rsidRDefault="003B716B" w:rsidP="00A80232">
            <w:pPr>
              <w:spacing w:before="60"/>
              <w:jc w:val="center"/>
              <w:rPr>
                <w:rFonts w:cs="Arial"/>
                <w:lang w:val="fr-FR"/>
              </w:rPr>
            </w:pPr>
            <w:r w:rsidRPr="007F1538">
              <w:rPr>
                <w:rFonts w:cs="Arial"/>
                <w:lang w:val="fr-FR"/>
              </w:rPr>
              <w:t>+ 409**</w:t>
            </w:r>
          </w:p>
        </w:tc>
      </w:tr>
      <w:tr w:rsidR="003B716B" w:rsidRPr="007F1538" w:rsidTr="007F1538">
        <w:tc>
          <w:tcPr>
            <w:tcW w:w="2529" w:type="dxa"/>
          </w:tcPr>
          <w:p w:rsidR="003B716B" w:rsidRPr="007F1538" w:rsidRDefault="007F1538" w:rsidP="00901928">
            <w:pPr>
              <w:spacing w:before="60"/>
              <w:rPr>
                <w:rFonts w:cs="Arial"/>
                <w:lang w:val="fr-FR"/>
              </w:rPr>
            </w:pPr>
            <w:r w:rsidRPr="007F1538">
              <w:rPr>
                <w:rFonts w:cs="Arial"/>
                <w:lang w:val="fr-FR"/>
              </w:rPr>
              <w:t xml:space="preserve">Apprentis </w:t>
            </w:r>
            <w:r w:rsidR="00901928">
              <w:rPr>
                <w:rFonts w:cs="Arial"/>
                <w:lang w:val="fr-FR"/>
              </w:rPr>
              <w:t>industriels (</w:t>
            </w:r>
            <w:r w:rsidRPr="007F1538">
              <w:rPr>
                <w:rFonts w:cs="Arial"/>
                <w:lang w:val="fr-FR"/>
              </w:rPr>
              <w:t>alternance</w:t>
            </w:r>
            <w:r w:rsidR="00901928">
              <w:rPr>
                <w:rFonts w:cs="Arial"/>
                <w:lang w:val="fr-FR"/>
              </w:rPr>
              <w:t>)</w:t>
            </w:r>
          </w:p>
        </w:tc>
        <w:tc>
          <w:tcPr>
            <w:tcW w:w="932" w:type="dxa"/>
          </w:tcPr>
          <w:p w:rsidR="003B716B" w:rsidRPr="007F1538" w:rsidRDefault="003B716B" w:rsidP="00A80232">
            <w:pPr>
              <w:spacing w:before="60"/>
              <w:jc w:val="center"/>
              <w:rPr>
                <w:rFonts w:cs="Arial"/>
                <w:lang w:val="fr-FR"/>
              </w:rPr>
            </w:pPr>
            <w:r w:rsidRPr="007F1538">
              <w:rPr>
                <w:rFonts w:cs="Arial"/>
                <w:lang w:val="fr-FR"/>
              </w:rPr>
              <w:t>122</w:t>
            </w:r>
          </w:p>
        </w:tc>
        <w:tc>
          <w:tcPr>
            <w:tcW w:w="1114" w:type="dxa"/>
          </w:tcPr>
          <w:p w:rsidR="003B716B" w:rsidRPr="007F1538" w:rsidRDefault="003B716B" w:rsidP="00A80232">
            <w:pPr>
              <w:spacing w:before="60"/>
              <w:jc w:val="center"/>
              <w:rPr>
                <w:rFonts w:cs="Arial"/>
                <w:lang w:val="fr-FR"/>
              </w:rPr>
            </w:pPr>
            <w:r w:rsidRPr="007F1538">
              <w:rPr>
                <w:rFonts w:cs="Arial"/>
                <w:lang w:val="fr-FR"/>
              </w:rPr>
              <w:t>116</w:t>
            </w:r>
          </w:p>
        </w:tc>
        <w:tc>
          <w:tcPr>
            <w:tcW w:w="1114" w:type="dxa"/>
          </w:tcPr>
          <w:p w:rsidR="003B716B" w:rsidRPr="007F1538" w:rsidRDefault="003B716B" w:rsidP="00A80232">
            <w:pPr>
              <w:spacing w:before="60"/>
              <w:jc w:val="center"/>
              <w:rPr>
                <w:rFonts w:cs="Arial"/>
                <w:lang w:val="fr-FR"/>
              </w:rPr>
            </w:pPr>
            <w:r w:rsidRPr="007F1538">
              <w:rPr>
                <w:rFonts w:cs="Arial"/>
                <w:lang w:val="fr-FR"/>
              </w:rPr>
              <w:t>130</w:t>
            </w:r>
          </w:p>
        </w:tc>
        <w:tc>
          <w:tcPr>
            <w:tcW w:w="1114" w:type="dxa"/>
          </w:tcPr>
          <w:p w:rsidR="003B716B" w:rsidRPr="007F1538" w:rsidRDefault="003B716B" w:rsidP="00A80232">
            <w:pPr>
              <w:spacing w:before="60"/>
              <w:jc w:val="center"/>
              <w:rPr>
                <w:rFonts w:cs="Arial"/>
                <w:lang w:val="fr-FR"/>
              </w:rPr>
            </w:pPr>
            <w:r w:rsidRPr="007F1538">
              <w:rPr>
                <w:rFonts w:cs="Arial"/>
                <w:lang w:val="fr-FR"/>
              </w:rPr>
              <w:t>122</w:t>
            </w:r>
          </w:p>
        </w:tc>
        <w:tc>
          <w:tcPr>
            <w:tcW w:w="1114" w:type="dxa"/>
          </w:tcPr>
          <w:p w:rsidR="003B716B" w:rsidRPr="007F1538" w:rsidRDefault="003B716B" w:rsidP="00A80232">
            <w:pPr>
              <w:spacing w:before="60"/>
              <w:jc w:val="center"/>
              <w:rPr>
                <w:rFonts w:cs="Arial"/>
                <w:lang w:val="fr-FR"/>
              </w:rPr>
            </w:pPr>
            <w:r w:rsidRPr="007F1538">
              <w:rPr>
                <w:rFonts w:cs="Arial"/>
                <w:lang w:val="fr-FR"/>
              </w:rPr>
              <w:t>121</w:t>
            </w:r>
          </w:p>
        </w:tc>
        <w:tc>
          <w:tcPr>
            <w:tcW w:w="1114" w:type="dxa"/>
          </w:tcPr>
          <w:p w:rsidR="003B716B" w:rsidRPr="007F1538" w:rsidRDefault="003B716B" w:rsidP="00A80232">
            <w:pPr>
              <w:spacing w:before="60"/>
              <w:jc w:val="center"/>
              <w:rPr>
                <w:rFonts w:cs="Arial"/>
                <w:lang w:val="fr-FR"/>
              </w:rPr>
            </w:pPr>
            <w:r w:rsidRPr="007F1538">
              <w:rPr>
                <w:rFonts w:cs="Arial"/>
                <w:lang w:val="fr-FR"/>
              </w:rPr>
              <w:t>110</w:t>
            </w:r>
          </w:p>
        </w:tc>
      </w:tr>
      <w:tr w:rsidR="003B716B" w:rsidRPr="007F1538" w:rsidTr="007F1538">
        <w:tc>
          <w:tcPr>
            <w:tcW w:w="2529" w:type="dxa"/>
          </w:tcPr>
          <w:p w:rsidR="003B716B" w:rsidRPr="007F1538" w:rsidRDefault="00901928" w:rsidP="00901928">
            <w:pPr>
              <w:spacing w:before="60"/>
              <w:rPr>
                <w:rFonts w:cs="Arial"/>
                <w:lang w:val="fr-FR"/>
              </w:rPr>
            </w:pPr>
            <w:r>
              <w:rPr>
                <w:rFonts w:cs="Arial"/>
                <w:lang w:val="fr-FR"/>
              </w:rPr>
              <w:t>Elèves (plein exercice)</w:t>
            </w:r>
          </w:p>
        </w:tc>
        <w:tc>
          <w:tcPr>
            <w:tcW w:w="932" w:type="dxa"/>
          </w:tcPr>
          <w:p w:rsidR="003B716B" w:rsidRPr="007F1538" w:rsidRDefault="003B716B" w:rsidP="00A80232">
            <w:pPr>
              <w:spacing w:before="60"/>
              <w:jc w:val="center"/>
              <w:rPr>
                <w:rFonts w:cs="Arial"/>
                <w:lang w:val="fr-FR"/>
              </w:rPr>
            </w:pPr>
            <w:r w:rsidRPr="007F1538">
              <w:rPr>
                <w:rFonts w:cs="Arial"/>
                <w:lang w:val="fr-FR"/>
              </w:rPr>
              <w:t>133</w:t>
            </w:r>
          </w:p>
        </w:tc>
        <w:tc>
          <w:tcPr>
            <w:tcW w:w="1114" w:type="dxa"/>
          </w:tcPr>
          <w:p w:rsidR="003B716B" w:rsidRPr="007F1538" w:rsidRDefault="003B716B" w:rsidP="00A80232">
            <w:pPr>
              <w:spacing w:before="60"/>
              <w:jc w:val="center"/>
              <w:rPr>
                <w:rFonts w:cs="Arial"/>
                <w:lang w:val="fr-FR"/>
              </w:rPr>
            </w:pPr>
            <w:r w:rsidRPr="007F1538">
              <w:rPr>
                <w:rFonts w:cs="Arial"/>
                <w:lang w:val="fr-FR"/>
              </w:rPr>
              <w:t>151</w:t>
            </w:r>
          </w:p>
        </w:tc>
        <w:tc>
          <w:tcPr>
            <w:tcW w:w="1114" w:type="dxa"/>
          </w:tcPr>
          <w:p w:rsidR="003B716B" w:rsidRPr="007F1538" w:rsidRDefault="003B716B" w:rsidP="00A80232">
            <w:pPr>
              <w:spacing w:before="60"/>
              <w:jc w:val="center"/>
              <w:rPr>
                <w:rFonts w:cs="Arial"/>
                <w:lang w:val="fr-FR"/>
              </w:rPr>
            </w:pPr>
            <w:r w:rsidRPr="007F1538">
              <w:rPr>
                <w:rFonts w:cs="Arial"/>
                <w:lang w:val="fr-FR"/>
              </w:rPr>
              <w:t>163</w:t>
            </w:r>
          </w:p>
        </w:tc>
        <w:tc>
          <w:tcPr>
            <w:tcW w:w="1114" w:type="dxa"/>
          </w:tcPr>
          <w:p w:rsidR="003B716B" w:rsidRPr="007F1538" w:rsidRDefault="003B716B" w:rsidP="00A80232">
            <w:pPr>
              <w:spacing w:before="60"/>
              <w:jc w:val="center"/>
              <w:rPr>
                <w:rFonts w:cs="Arial"/>
                <w:lang w:val="fr-FR"/>
              </w:rPr>
            </w:pPr>
            <w:r w:rsidRPr="007F1538">
              <w:rPr>
                <w:rFonts w:cs="Arial"/>
                <w:lang w:val="fr-FR"/>
              </w:rPr>
              <w:t>169</w:t>
            </w:r>
          </w:p>
        </w:tc>
        <w:tc>
          <w:tcPr>
            <w:tcW w:w="1114" w:type="dxa"/>
          </w:tcPr>
          <w:p w:rsidR="003B716B" w:rsidRPr="007F1538" w:rsidRDefault="003B716B" w:rsidP="00A80232">
            <w:pPr>
              <w:spacing w:before="60"/>
              <w:jc w:val="center"/>
              <w:rPr>
                <w:rFonts w:cs="Arial"/>
                <w:lang w:val="fr-FR"/>
              </w:rPr>
            </w:pPr>
            <w:r w:rsidRPr="007F1538">
              <w:rPr>
                <w:rFonts w:cs="Arial"/>
                <w:lang w:val="fr-FR"/>
              </w:rPr>
              <w:t>321</w:t>
            </w:r>
            <w:r w:rsidRPr="007F1538">
              <w:rPr>
                <w:rFonts w:cs="Arial"/>
                <w:lang w:val="fr-FR"/>
              </w:rPr>
              <w:br/>
              <w:t>+ 1.635***</w:t>
            </w:r>
          </w:p>
        </w:tc>
        <w:tc>
          <w:tcPr>
            <w:tcW w:w="1114" w:type="dxa"/>
          </w:tcPr>
          <w:p w:rsidR="003B716B" w:rsidRPr="007F1538" w:rsidRDefault="003B716B" w:rsidP="00A80232">
            <w:pPr>
              <w:spacing w:before="60"/>
              <w:jc w:val="center"/>
              <w:rPr>
                <w:rFonts w:cs="Arial"/>
                <w:lang w:val="fr-FR"/>
              </w:rPr>
            </w:pPr>
            <w:r w:rsidRPr="007F1538">
              <w:rPr>
                <w:rFonts w:cs="Arial"/>
                <w:lang w:val="fr-FR"/>
              </w:rPr>
              <w:t>312</w:t>
            </w:r>
          </w:p>
          <w:p w:rsidR="003B716B" w:rsidRPr="007F1538" w:rsidRDefault="003B716B" w:rsidP="00A80232">
            <w:pPr>
              <w:spacing w:before="60"/>
              <w:jc w:val="center"/>
              <w:rPr>
                <w:rFonts w:cs="Arial"/>
                <w:lang w:val="fr-FR"/>
              </w:rPr>
            </w:pPr>
            <w:r w:rsidRPr="007F1538">
              <w:rPr>
                <w:rFonts w:cs="Arial"/>
                <w:lang w:val="fr-FR"/>
              </w:rPr>
              <w:t>+</w:t>
            </w:r>
          </w:p>
          <w:p w:rsidR="003B716B" w:rsidRPr="007F1538" w:rsidRDefault="003B716B" w:rsidP="00A80232">
            <w:pPr>
              <w:spacing w:before="60"/>
              <w:jc w:val="center"/>
              <w:rPr>
                <w:rFonts w:cs="Arial"/>
                <w:lang w:val="fr-FR"/>
              </w:rPr>
            </w:pPr>
            <w:r w:rsidRPr="007F1538">
              <w:rPr>
                <w:rFonts w:cs="Arial"/>
                <w:lang w:val="fr-FR"/>
              </w:rPr>
              <w:t>1583***</w:t>
            </w:r>
          </w:p>
        </w:tc>
      </w:tr>
      <w:tr w:rsidR="00DC6B00" w:rsidRPr="007F1538" w:rsidTr="007F1538">
        <w:tc>
          <w:tcPr>
            <w:tcW w:w="2529" w:type="dxa"/>
          </w:tcPr>
          <w:p w:rsidR="00DC6B00" w:rsidRPr="007F1538" w:rsidRDefault="007F1538" w:rsidP="00690B4E">
            <w:pPr>
              <w:spacing w:before="60"/>
              <w:rPr>
                <w:rFonts w:cs="Arial"/>
                <w:lang w:val="fr-FR"/>
              </w:rPr>
            </w:pPr>
            <w:r w:rsidRPr="007F1538">
              <w:rPr>
                <w:rFonts w:cs="Arial"/>
                <w:lang w:val="fr-FR"/>
              </w:rPr>
              <w:t>Enseignants</w:t>
            </w:r>
          </w:p>
        </w:tc>
        <w:tc>
          <w:tcPr>
            <w:tcW w:w="932" w:type="dxa"/>
          </w:tcPr>
          <w:p w:rsidR="00DC6B00" w:rsidRPr="007F1538" w:rsidRDefault="00DC6B00" w:rsidP="00A80232">
            <w:pPr>
              <w:spacing w:before="60"/>
              <w:jc w:val="center"/>
              <w:rPr>
                <w:rFonts w:cs="Arial"/>
                <w:lang w:val="fr-FR"/>
              </w:rPr>
            </w:pPr>
            <w:r w:rsidRPr="007F1538">
              <w:rPr>
                <w:rFonts w:cs="Arial"/>
                <w:lang w:val="fr-FR"/>
              </w:rPr>
              <w:t>116</w:t>
            </w:r>
          </w:p>
        </w:tc>
        <w:tc>
          <w:tcPr>
            <w:tcW w:w="1114" w:type="dxa"/>
          </w:tcPr>
          <w:p w:rsidR="00DC6B00" w:rsidRPr="007F1538" w:rsidRDefault="00DC6B00" w:rsidP="00A80232">
            <w:pPr>
              <w:spacing w:before="60"/>
              <w:jc w:val="center"/>
              <w:rPr>
                <w:rFonts w:cs="Arial"/>
                <w:lang w:val="fr-FR"/>
              </w:rPr>
            </w:pPr>
            <w:r w:rsidRPr="007F1538">
              <w:rPr>
                <w:rFonts w:cs="Arial"/>
                <w:lang w:val="fr-FR"/>
              </w:rPr>
              <w:t>47</w:t>
            </w:r>
          </w:p>
        </w:tc>
        <w:tc>
          <w:tcPr>
            <w:tcW w:w="1114" w:type="dxa"/>
          </w:tcPr>
          <w:p w:rsidR="00DC6B00" w:rsidRPr="007F1538" w:rsidRDefault="00DC6B00" w:rsidP="00A80232">
            <w:pPr>
              <w:spacing w:before="60"/>
              <w:jc w:val="center"/>
              <w:rPr>
                <w:rFonts w:cs="Arial"/>
                <w:lang w:val="fr-FR"/>
              </w:rPr>
            </w:pPr>
            <w:r w:rsidRPr="007F1538">
              <w:rPr>
                <w:rFonts w:cs="Arial"/>
                <w:lang w:val="fr-FR"/>
              </w:rPr>
              <w:t>66</w:t>
            </w:r>
          </w:p>
        </w:tc>
        <w:tc>
          <w:tcPr>
            <w:tcW w:w="1114" w:type="dxa"/>
          </w:tcPr>
          <w:p w:rsidR="00DC6B00" w:rsidRPr="007F1538" w:rsidRDefault="00DC6B00" w:rsidP="00A80232">
            <w:pPr>
              <w:spacing w:before="60"/>
              <w:jc w:val="center"/>
              <w:rPr>
                <w:rFonts w:cs="Arial"/>
                <w:lang w:val="fr-FR"/>
              </w:rPr>
            </w:pPr>
            <w:r w:rsidRPr="007F1538">
              <w:rPr>
                <w:rFonts w:cs="Arial"/>
                <w:lang w:val="fr-FR"/>
              </w:rPr>
              <w:t>160</w:t>
            </w:r>
          </w:p>
        </w:tc>
        <w:tc>
          <w:tcPr>
            <w:tcW w:w="1114" w:type="dxa"/>
          </w:tcPr>
          <w:p w:rsidR="00DC6B00" w:rsidRPr="007F1538" w:rsidRDefault="00DC6B00" w:rsidP="00A80232">
            <w:pPr>
              <w:spacing w:before="60"/>
              <w:jc w:val="center"/>
              <w:rPr>
                <w:rFonts w:cs="Arial"/>
                <w:lang w:val="fr-FR"/>
              </w:rPr>
            </w:pPr>
            <w:r w:rsidRPr="007F1538">
              <w:rPr>
                <w:rFonts w:cs="Arial"/>
                <w:lang w:val="fr-FR"/>
              </w:rPr>
              <w:t>472</w:t>
            </w:r>
          </w:p>
        </w:tc>
        <w:tc>
          <w:tcPr>
            <w:tcW w:w="1114" w:type="dxa"/>
          </w:tcPr>
          <w:p w:rsidR="00DC6B00" w:rsidRPr="007F1538" w:rsidRDefault="00DC6B00" w:rsidP="00A80232">
            <w:pPr>
              <w:spacing w:before="60"/>
              <w:jc w:val="center"/>
              <w:rPr>
                <w:rFonts w:cs="Arial"/>
                <w:lang w:val="fr-FR"/>
              </w:rPr>
            </w:pPr>
            <w:r w:rsidRPr="007F1538">
              <w:rPr>
                <w:rFonts w:cs="Arial"/>
                <w:lang w:val="fr-FR"/>
              </w:rPr>
              <w:t>377</w:t>
            </w:r>
          </w:p>
        </w:tc>
      </w:tr>
    </w:tbl>
    <w:p w:rsidR="003B716B" w:rsidRPr="007F1538" w:rsidRDefault="007F1538" w:rsidP="003B716B">
      <w:pPr>
        <w:rPr>
          <w:rFonts w:cs="Arial"/>
          <w:i/>
          <w:sz w:val="18"/>
          <w:szCs w:val="18"/>
          <w:lang w:val="fr-FR"/>
        </w:rPr>
      </w:pPr>
      <w:r w:rsidRPr="007F1538">
        <w:rPr>
          <w:rFonts w:cs="Arial"/>
          <w:i/>
          <w:sz w:val="18"/>
          <w:szCs w:val="18"/>
          <w:lang w:val="fr-FR"/>
        </w:rPr>
        <w:t>* Via FormAlim</w:t>
      </w:r>
    </w:p>
    <w:p w:rsidR="003B716B" w:rsidRPr="007F1538" w:rsidRDefault="007F1538" w:rsidP="003B716B">
      <w:pPr>
        <w:rPr>
          <w:rFonts w:cs="Arial"/>
          <w:i/>
          <w:sz w:val="18"/>
          <w:szCs w:val="18"/>
          <w:lang w:val="fr-FR"/>
        </w:rPr>
      </w:pPr>
      <w:r w:rsidRPr="007F1538">
        <w:rPr>
          <w:rFonts w:cs="Arial"/>
          <w:i/>
          <w:sz w:val="18"/>
          <w:szCs w:val="18"/>
          <w:lang w:val="fr-FR"/>
        </w:rPr>
        <w:t>** IBO via VDAB et PFI via Forem</w:t>
      </w:r>
      <w:r w:rsidRPr="007F1538">
        <w:rPr>
          <w:rFonts w:cs="Arial"/>
          <w:i/>
          <w:sz w:val="18"/>
          <w:szCs w:val="18"/>
          <w:lang w:val="fr-FR"/>
        </w:rPr>
        <w:br/>
        <w:t>*** Formations boulangerie</w:t>
      </w:r>
    </w:p>
    <w:p w:rsidR="003B716B" w:rsidRPr="007F1538" w:rsidRDefault="003B716B" w:rsidP="003B716B">
      <w:pPr>
        <w:rPr>
          <w:rFonts w:cs="Arial"/>
          <w:i/>
          <w:sz w:val="18"/>
          <w:szCs w:val="18"/>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293133" w:rsidRPr="007F1538" w:rsidRDefault="00293133" w:rsidP="003B716B">
      <w:pPr>
        <w:rPr>
          <w:rFonts w:cs="Arial"/>
          <w:lang w:val="fr-FR"/>
        </w:rPr>
      </w:pPr>
    </w:p>
    <w:p w:rsidR="003B716B" w:rsidRPr="007F1538" w:rsidRDefault="003B716B" w:rsidP="003B716B">
      <w:pPr>
        <w:rPr>
          <w:rFonts w:cs="Arial"/>
          <w:lang w:val="fr-FR"/>
        </w:rPr>
      </w:pPr>
    </w:p>
    <w:p w:rsidR="003B716B" w:rsidRPr="007F1538" w:rsidRDefault="003B716B" w:rsidP="007F1538">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highlight w:val="yellow"/>
          <w:lang w:val="fr-FR"/>
        </w:rPr>
      </w:pPr>
    </w:p>
    <w:p w:rsidR="003B716B" w:rsidRPr="007F1538" w:rsidRDefault="003B716B" w:rsidP="007F1538">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b/>
          <w:i/>
          <w:color w:val="000000"/>
          <w:lang w:val="fr-FR"/>
        </w:rPr>
        <w:t xml:space="preserve"> </w:t>
      </w:r>
      <w:r w:rsidR="007F1538" w:rsidRPr="007F1538">
        <w:rPr>
          <w:rFonts w:cs="Arial"/>
          <w:b/>
          <w:i/>
          <w:color w:val="000000"/>
          <w:shd w:val="pct70" w:color="FFFFFF" w:fill="auto"/>
          <w:lang w:val="fr-FR"/>
        </w:rPr>
        <w:t>*** 20 ans de l’IFP ***</w:t>
      </w:r>
    </w:p>
    <w:p w:rsidR="003B716B" w:rsidRPr="007F1538" w:rsidRDefault="003B716B" w:rsidP="007F1538">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0507B0" w:rsidRPr="007F1538" w:rsidRDefault="000507B0" w:rsidP="007F1538">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b/>
          <w:i/>
          <w:color w:val="000000"/>
          <w:lang w:val="fr-FR"/>
        </w:rPr>
        <w:t>***</w:t>
      </w:r>
    </w:p>
    <w:p w:rsidR="003B716B" w:rsidRPr="007F1538" w:rsidRDefault="007F1538" w:rsidP="007F1538">
      <w:pPr>
        <w:jc w:val="center"/>
        <w:rPr>
          <w:rFonts w:cs="Arial"/>
          <w:b/>
          <w:i/>
          <w:color w:val="000000"/>
          <w:lang w:val="fr-FR"/>
        </w:rPr>
      </w:pPr>
      <w:r w:rsidRPr="007F1538">
        <w:rPr>
          <w:rFonts w:cs="Arial"/>
          <w:b/>
          <w:i/>
          <w:color w:val="000000"/>
          <w:lang w:val="fr-FR"/>
        </w:rPr>
        <w:t>Pas uniquement pour les travailleurs, mais également pour les apprentis, pour les demandeurs d’emploi, pour les travailleurs concernés par un licenciement collectif et pour les intérimaires</w:t>
      </w:r>
    </w:p>
    <w:p w:rsidR="003B716B" w:rsidRPr="007F1538" w:rsidRDefault="003B716B" w:rsidP="007F1538">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3B716B" w:rsidRPr="007F1538" w:rsidRDefault="003B716B" w:rsidP="007F1538">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b/>
          <w:i/>
          <w:color w:val="000000"/>
          <w:lang w:val="fr-FR"/>
        </w:rPr>
        <w:t>***</w:t>
      </w:r>
    </w:p>
    <w:p w:rsidR="003B716B" w:rsidRPr="007F1538" w:rsidRDefault="003B716B"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E36F2E" w:rsidRPr="007F1538" w:rsidRDefault="007F1538" w:rsidP="007F1538">
      <w:pPr>
        <w:rPr>
          <w:rFonts w:cs="Arial"/>
          <w:color w:val="000000"/>
          <w:lang w:val="fr-FR"/>
        </w:rPr>
      </w:pPr>
      <w:r w:rsidRPr="007F1538">
        <w:rPr>
          <w:rFonts w:cs="Arial"/>
          <w:color w:val="000000"/>
          <w:lang w:val="fr-FR"/>
        </w:rPr>
        <w:t>Traditionnellement, les organismes de formation sectoriels s’adressent aux travailleurs, aux apprentis et aux demandeurs d’emploi. L’IFP ne déroge pas à la règle depuis sa création en 1989.</w:t>
      </w:r>
      <w:r w:rsidR="00E36F2E" w:rsidRPr="007F1538">
        <w:rPr>
          <w:rFonts w:cs="Arial"/>
          <w:color w:val="000000"/>
          <w:lang w:val="fr-FR"/>
        </w:rPr>
        <w:t xml:space="preserve"> </w:t>
      </w:r>
      <w:r w:rsidRPr="00983E86">
        <w:rPr>
          <w:rFonts w:cs="Arial"/>
          <w:color w:val="000000"/>
          <w:lang w:val="fr-FR"/>
        </w:rPr>
        <w:t xml:space="preserve">En vingt ans, la portée de chacun de ces groupes n’a pas été uniquement fortement étendue, mais l’offre </w:t>
      </w:r>
      <w:r w:rsidR="00983E86" w:rsidRPr="00983E86">
        <w:rPr>
          <w:rFonts w:cs="Arial"/>
          <w:color w:val="000000"/>
          <w:lang w:val="fr-FR"/>
        </w:rPr>
        <w:t>a</w:t>
      </w:r>
      <w:r w:rsidRPr="00983E86">
        <w:rPr>
          <w:rFonts w:cs="Arial"/>
          <w:color w:val="000000"/>
          <w:lang w:val="fr-FR"/>
        </w:rPr>
        <w:t xml:space="preserve"> également été davantage diversifiée et sa qualité améliorée.</w:t>
      </w:r>
    </w:p>
    <w:p w:rsidR="00E36F2E" w:rsidRPr="007F1538" w:rsidRDefault="00E36F2E"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E36F2E" w:rsidRPr="007F1538" w:rsidRDefault="007F1538"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t>Dans l’enseignement, par exemple, l’IFP n’accordait tout d’abord que des primes dans le cadre de l’apprentissage industriel.</w:t>
      </w:r>
      <w:r w:rsidR="00E36F2E" w:rsidRPr="007F1538">
        <w:rPr>
          <w:rFonts w:cs="Arial"/>
          <w:color w:val="000000"/>
          <w:lang w:val="fr-FR"/>
        </w:rPr>
        <w:t xml:space="preserve"> </w:t>
      </w:r>
      <w:r w:rsidRPr="007F1538">
        <w:rPr>
          <w:rFonts w:cs="Arial"/>
          <w:color w:val="000000"/>
          <w:lang w:val="fr-FR"/>
        </w:rPr>
        <w:t>Aujourd’hui, l’IFP s’adresse également à l’enseignement de plein exercice et soutient concrètement et matériellement la mise en place de formations spécifiques au secteur.</w:t>
      </w:r>
    </w:p>
    <w:p w:rsidR="00E36F2E" w:rsidRPr="007F1538" w:rsidRDefault="00E36F2E"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E36F2E" w:rsidRPr="007F1538" w:rsidRDefault="007F1538"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t>Le fonctionnement des demandeurs d’emploi a également considérablement évolué, proposant aujourd’hui des trajets de formation qui correspondent aux besoins de l’industrie alimentaire.</w:t>
      </w:r>
      <w:r w:rsidR="00E36F2E" w:rsidRPr="007F1538">
        <w:rPr>
          <w:rFonts w:cs="Arial"/>
          <w:color w:val="000000"/>
          <w:lang w:val="fr-FR"/>
        </w:rPr>
        <w:t xml:space="preserve"> </w:t>
      </w:r>
      <w:r w:rsidRPr="007F1538">
        <w:rPr>
          <w:rFonts w:cs="Arial"/>
          <w:color w:val="000000"/>
          <w:lang w:val="fr-FR"/>
        </w:rPr>
        <w:t>On intègre par exemple systématiquement des stages dans les formations professionnelles.</w:t>
      </w:r>
      <w:r w:rsidR="00E36F2E" w:rsidRPr="007F1538">
        <w:rPr>
          <w:rFonts w:cs="Arial"/>
          <w:color w:val="000000"/>
          <w:lang w:val="fr-FR"/>
        </w:rPr>
        <w:t xml:space="preserve"> </w:t>
      </w:r>
      <w:r w:rsidRPr="007F1538">
        <w:rPr>
          <w:rFonts w:cs="Arial"/>
          <w:color w:val="000000"/>
          <w:lang w:val="fr-FR"/>
        </w:rPr>
        <w:t>En Wallonie, on investit en outre dans des centres de formations spécifiques, notamment FormAlim et Epicuris, où une infrastructure moderne et les toutes dernières techniques sont disponibles.</w:t>
      </w:r>
      <w:r w:rsidR="00E36F2E" w:rsidRPr="007F1538">
        <w:rPr>
          <w:rFonts w:cs="Arial"/>
          <w:color w:val="000000"/>
          <w:lang w:val="fr-FR"/>
        </w:rPr>
        <w:t xml:space="preserve"> </w:t>
      </w:r>
      <w:r w:rsidRPr="007F1538">
        <w:rPr>
          <w:rFonts w:cs="Arial"/>
          <w:color w:val="000000"/>
          <w:shd w:val="pct70" w:color="FFFFFF" w:fill="auto"/>
          <w:lang w:val="fr-FR"/>
        </w:rPr>
        <w:t>En 2009, pas moins de 1.670 demandeurs d'emploi y ont été formés.</w:t>
      </w:r>
    </w:p>
    <w:p w:rsidR="00E36F2E" w:rsidRPr="007F1538" w:rsidRDefault="00E36F2E"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734383" w:rsidRPr="007F1538" w:rsidRDefault="007F1538"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t>Les efforts par rapport aux travailleurs impliqués dans un licenciement collectif sont relativement nouveaux.</w:t>
      </w:r>
      <w:r w:rsidR="00E36F2E" w:rsidRPr="007F1538">
        <w:rPr>
          <w:rFonts w:cs="Arial"/>
          <w:color w:val="000000"/>
          <w:lang w:val="fr-FR"/>
        </w:rPr>
        <w:t xml:space="preserve"> </w:t>
      </w:r>
      <w:r w:rsidRPr="007F1538">
        <w:rPr>
          <w:rFonts w:cs="Arial"/>
          <w:color w:val="000000"/>
          <w:lang w:val="fr-FR"/>
        </w:rPr>
        <w:t>Ces travailleurs peuvent suivre gratuitement une formation auprès de l’IFP.</w:t>
      </w:r>
    </w:p>
    <w:p w:rsidR="00E36F2E" w:rsidRPr="007F1538" w:rsidRDefault="00E36F2E"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E36F2E" w:rsidRPr="007F1538" w:rsidRDefault="008066E5"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8066E5">
        <w:rPr>
          <w:rFonts w:cs="Arial"/>
          <w:color w:val="000000"/>
          <w:shd w:val="pct70" w:color="FFFFFF" w:fill="auto"/>
          <w:lang w:val="fr-FR"/>
        </w:rPr>
        <w:t>L</w:t>
      </w:r>
      <w:r w:rsidR="007F1538" w:rsidRPr="008066E5">
        <w:rPr>
          <w:rFonts w:cs="Arial"/>
          <w:color w:val="000000"/>
          <w:shd w:val="pct70" w:color="FFFFFF" w:fill="auto"/>
          <w:lang w:val="fr-FR"/>
        </w:rPr>
        <w:t>es investissements dans les intérimaires actifs dans l’industrie alimentaire</w:t>
      </w:r>
      <w:r w:rsidRPr="008066E5">
        <w:rPr>
          <w:rFonts w:cs="Arial"/>
          <w:color w:val="000000"/>
          <w:shd w:val="pct70" w:color="FFFFFF" w:fill="auto"/>
          <w:lang w:val="fr-FR"/>
        </w:rPr>
        <w:t xml:space="preserve"> sont encore plus récents</w:t>
      </w:r>
      <w:r w:rsidR="007F1538" w:rsidRPr="008066E5">
        <w:rPr>
          <w:rFonts w:cs="Arial"/>
          <w:color w:val="000000"/>
          <w:shd w:val="pct70" w:color="FFFFFF" w:fill="auto"/>
          <w:lang w:val="fr-FR"/>
        </w:rPr>
        <w:t>.</w:t>
      </w:r>
      <w:r w:rsidR="00734383" w:rsidRPr="007F1538">
        <w:rPr>
          <w:rFonts w:cs="Arial"/>
          <w:color w:val="000000"/>
          <w:lang w:val="fr-FR"/>
        </w:rPr>
        <w:t xml:space="preserve"> </w:t>
      </w:r>
      <w:r w:rsidR="007F1538" w:rsidRPr="007F1538">
        <w:rPr>
          <w:rFonts w:cs="Arial"/>
          <w:color w:val="000000"/>
          <w:lang w:val="fr-FR"/>
        </w:rPr>
        <w:t>Ces investissements doivent aider les entreprises et les travailleurs à favoriser l’évolution vers un emploi fixe.</w:t>
      </w:r>
      <w:r w:rsidR="00734383" w:rsidRPr="007F1538">
        <w:rPr>
          <w:rFonts w:cs="Arial"/>
          <w:color w:val="000000"/>
          <w:lang w:val="fr-FR"/>
        </w:rPr>
        <w:t xml:space="preserve"> </w:t>
      </w:r>
      <w:r w:rsidR="007F1538" w:rsidRPr="007F1538">
        <w:rPr>
          <w:rFonts w:cs="Arial"/>
          <w:color w:val="000000"/>
          <w:lang w:val="fr-FR"/>
        </w:rPr>
        <w:t>Ces formations ont directement connu un grand succès.</w:t>
      </w:r>
    </w:p>
    <w:p w:rsidR="006D1A82" w:rsidRPr="007F1538" w:rsidRDefault="006D1A82"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6D1A82" w:rsidRPr="007F1538" w:rsidRDefault="007F1538"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t>En d’autres termes :</w:t>
      </w:r>
      <w:r w:rsidR="006D1A82" w:rsidRPr="007F1538">
        <w:rPr>
          <w:rFonts w:cs="Arial"/>
          <w:color w:val="000000"/>
          <w:lang w:val="fr-FR"/>
        </w:rPr>
        <w:t xml:space="preserve"> </w:t>
      </w:r>
      <w:r w:rsidRPr="007F1538">
        <w:rPr>
          <w:rFonts w:cs="Arial"/>
          <w:color w:val="000000"/>
          <w:lang w:val="fr-FR"/>
        </w:rPr>
        <w:t xml:space="preserve">l’IFP souhaite utiliser toutes les lignes de rupture dans les carrières pour renforcer les compétences des travailleurs, même lorsqu’ils </w:t>
      </w:r>
      <w:r w:rsidR="00F26DAC">
        <w:rPr>
          <w:rFonts w:cs="Arial"/>
          <w:color w:val="000000"/>
          <w:lang w:val="fr-FR"/>
        </w:rPr>
        <w:t>risquent</w:t>
      </w:r>
      <w:r w:rsidRPr="007F1538">
        <w:rPr>
          <w:rFonts w:cs="Arial"/>
          <w:color w:val="000000"/>
          <w:lang w:val="fr-FR"/>
        </w:rPr>
        <w:t xml:space="preserve"> de quitter le secteur.</w:t>
      </w:r>
    </w:p>
    <w:p w:rsidR="00E36F2E" w:rsidRPr="007F1538" w:rsidRDefault="00A41ABA"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highlight w:val="yellow"/>
          <w:lang w:val="fr-FR"/>
        </w:rPr>
      </w:pPr>
      <w:r w:rsidRPr="00A41ABA">
        <w:rPr>
          <w:rFonts w:cs="Arial"/>
          <w:color w:val="000000"/>
          <w:lang w:val="fr-FR"/>
        </w:rPr>
        <w:t xml:space="preserve">Grâce à cette approche </w:t>
      </w:r>
      <w:r w:rsidR="001E2E63">
        <w:rPr>
          <w:rFonts w:cs="Arial"/>
          <w:color w:val="000000"/>
          <w:lang w:val="fr-FR"/>
        </w:rPr>
        <w:t>étendue</w:t>
      </w:r>
      <w:r w:rsidRPr="00A41ABA">
        <w:rPr>
          <w:rFonts w:cs="Arial"/>
          <w:color w:val="000000"/>
          <w:lang w:val="fr-FR"/>
        </w:rPr>
        <w:t>, l’IFP est prêt à maintenir en permanence le niveau de compétence au sein du secteur et à attirer un nombre suffisant de personnes qualifiées.</w:t>
      </w:r>
      <w:r w:rsidR="00E36F2E" w:rsidRPr="007F1538">
        <w:rPr>
          <w:rFonts w:cs="Arial"/>
          <w:color w:val="000000"/>
          <w:lang w:val="fr-FR"/>
        </w:rPr>
        <w:t xml:space="preserve"> </w:t>
      </w:r>
      <w:r w:rsidRPr="00A41ABA">
        <w:rPr>
          <w:rFonts w:cs="Arial"/>
          <w:color w:val="000000"/>
          <w:lang w:val="fr-FR"/>
        </w:rPr>
        <w:t>En raison du vieillissement de la population et de la pénurie sur le marché du travail, il faudra en effet attirer un maximum de forces vives et les conserver.</w:t>
      </w:r>
      <w:r w:rsidR="00B67161">
        <w:rPr>
          <w:rFonts w:cs="Arial"/>
          <w:color w:val="000000"/>
          <w:lang w:val="fr-FR"/>
        </w:rPr>
        <w:t xml:space="preserve"> </w:t>
      </w:r>
      <w:r w:rsidRPr="00A41ABA">
        <w:rPr>
          <w:rFonts w:cs="Arial"/>
          <w:color w:val="000000"/>
          <w:lang w:val="fr-FR"/>
        </w:rPr>
        <w:t>En outre, l’automatisation et les innovations technologiques augmentent les exigences générales en ce qui concerne les compétences.</w:t>
      </w:r>
      <w:r w:rsidR="00E36F2E" w:rsidRPr="007F1538">
        <w:rPr>
          <w:rFonts w:cs="Arial"/>
          <w:color w:val="000000"/>
          <w:lang w:val="fr-FR"/>
        </w:rPr>
        <w:t xml:space="preserve"> </w:t>
      </w:r>
      <w:r w:rsidRPr="00A41ABA">
        <w:rPr>
          <w:rFonts w:cs="Arial"/>
          <w:color w:val="000000"/>
          <w:lang w:val="fr-FR"/>
        </w:rPr>
        <w:t>Même si le travail réclamant peu de qualification ne manque pas dans l’industrie alimentaire, celui-ci diminue malgré tout progressivement.</w:t>
      </w:r>
      <w:r w:rsidR="00E36F2E" w:rsidRPr="007F1538">
        <w:rPr>
          <w:rFonts w:cs="Arial"/>
          <w:color w:val="000000"/>
          <w:lang w:val="fr-FR"/>
        </w:rPr>
        <w:t xml:space="preserve"> </w:t>
      </w:r>
      <w:r w:rsidRPr="00983E86">
        <w:rPr>
          <w:shd w:val="pct70" w:color="FFFFFF" w:fill="auto"/>
          <w:lang w:val="fr-FR"/>
        </w:rPr>
        <w:t>Ces dernières années, la proportion de travailleurs peu qualifié</w:t>
      </w:r>
      <w:r w:rsidR="00983E86" w:rsidRPr="00983E86">
        <w:rPr>
          <w:shd w:val="pct70" w:color="FFFFFF" w:fill="auto"/>
          <w:lang w:val="fr-FR"/>
        </w:rPr>
        <w:t>s</w:t>
      </w:r>
      <w:r w:rsidRPr="00983E86">
        <w:rPr>
          <w:shd w:val="pct70" w:color="FFFFFF" w:fill="auto"/>
          <w:lang w:val="fr-FR"/>
        </w:rPr>
        <w:t xml:space="preserve"> au sein du secteur a diminué.</w:t>
      </w:r>
      <w:r w:rsidR="00734383" w:rsidRPr="007F1538">
        <w:rPr>
          <w:rFonts w:cs="Arial"/>
          <w:color w:val="000000"/>
          <w:lang w:val="fr-FR"/>
        </w:rPr>
        <w:t xml:space="preserve"> </w:t>
      </w:r>
      <w:r w:rsidRPr="00A41ABA">
        <w:rPr>
          <w:rFonts w:cs="Arial"/>
          <w:color w:val="000000"/>
          <w:lang w:val="fr-FR"/>
        </w:rPr>
        <w:t xml:space="preserve">En 2008, 30,7% </w:t>
      </w:r>
      <w:r w:rsidR="001E2E63">
        <w:rPr>
          <w:rFonts w:cs="Arial"/>
          <w:color w:val="000000"/>
          <w:lang w:val="fr-FR"/>
        </w:rPr>
        <w:t xml:space="preserve">des travailleurs </w:t>
      </w:r>
      <w:r w:rsidRPr="00A41ABA">
        <w:rPr>
          <w:rFonts w:cs="Arial"/>
          <w:color w:val="000000"/>
          <w:lang w:val="fr-FR"/>
        </w:rPr>
        <w:t>de l’industrie alimentaire étai</w:t>
      </w:r>
      <w:r w:rsidR="001E2E63">
        <w:rPr>
          <w:rFonts w:cs="Arial"/>
          <w:color w:val="000000"/>
          <w:lang w:val="fr-FR"/>
        </w:rPr>
        <w:t>en</w:t>
      </w:r>
      <w:r w:rsidRPr="00A41ABA">
        <w:rPr>
          <w:rFonts w:cs="Arial"/>
          <w:color w:val="000000"/>
          <w:lang w:val="fr-FR"/>
        </w:rPr>
        <w:t>t peu qualifié</w:t>
      </w:r>
      <w:r w:rsidR="001E2E63">
        <w:rPr>
          <w:rFonts w:cs="Arial"/>
          <w:color w:val="000000"/>
          <w:lang w:val="fr-FR"/>
        </w:rPr>
        <w:t>s</w:t>
      </w:r>
      <w:r w:rsidRPr="00A41ABA">
        <w:rPr>
          <w:rFonts w:cs="Arial"/>
          <w:color w:val="000000"/>
          <w:lang w:val="fr-FR"/>
        </w:rPr>
        <w:t xml:space="preserve"> (</w:t>
      </w:r>
      <w:r w:rsidRPr="00A41ABA">
        <w:rPr>
          <w:lang w:val="fr-FR"/>
        </w:rPr>
        <w:t>23,9%</w:t>
      </w:r>
      <w:r w:rsidRPr="00A41ABA">
        <w:rPr>
          <w:rFonts w:cs="Arial"/>
          <w:color w:val="000000"/>
          <w:lang w:val="fr-FR"/>
        </w:rPr>
        <w:t xml:space="preserve"> dans l’ensemble du secteur privé).</w:t>
      </w:r>
      <w:r w:rsidR="00E36F2E" w:rsidRPr="007F1538">
        <w:rPr>
          <w:lang w:val="fr-FR"/>
        </w:rPr>
        <w:t xml:space="preserve"> </w:t>
      </w:r>
      <w:r w:rsidRPr="00A41ABA">
        <w:rPr>
          <w:shd w:val="pct70" w:color="FFFFFF" w:fill="auto"/>
          <w:lang w:val="fr-FR"/>
        </w:rPr>
        <w:t>En 2000, cette proportion s’élevait encore à 43,6%.</w:t>
      </w:r>
    </w:p>
    <w:p w:rsidR="00E36F2E" w:rsidRPr="007F1538" w:rsidRDefault="00E36F2E" w:rsidP="007F1538">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3B716B" w:rsidRPr="007F1538" w:rsidRDefault="003B716B" w:rsidP="003B716B">
      <w:pPr>
        <w:autoSpaceDE w:val="0"/>
        <w:autoSpaceDN w:val="0"/>
        <w:adjustRightInd w:val="0"/>
        <w:rPr>
          <w:rFonts w:ascii="ArialNarrow" w:hAnsi="ArialNarrow" w:cs="ArialNarrow"/>
          <w:sz w:val="24"/>
          <w:szCs w:val="24"/>
          <w:lang w:val="fr-FR" w:eastAsia="en-US"/>
        </w:rPr>
      </w:pPr>
    </w:p>
    <w:p w:rsidR="003B716B" w:rsidRPr="007F1538" w:rsidRDefault="003B716B" w:rsidP="003B716B">
      <w:pPr>
        <w:rPr>
          <w:b/>
          <w:szCs w:val="24"/>
          <w:lang w:val="fr-FR" w:eastAsia="pl-PL"/>
        </w:rPr>
      </w:pPr>
    </w:p>
    <w:p w:rsidR="00501834" w:rsidRPr="007F1538" w:rsidRDefault="00A41ABA" w:rsidP="00A41ABA">
      <w:pPr>
        <w:pStyle w:val="Heading2"/>
        <w:rPr>
          <w:lang w:val="fr-FR"/>
        </w:rPr>
      </w:pPr>
      <w:bookmarkStart w:id="29" w:name="_Toc267060122"/>
      <w:bookmarkStart w:id="30" w:name="_Toc269220676"/>
      <w:bookmarkEnd w:id="17"/>
      <w:bookmarkEnd w:id="18"/>
      <w:bookmarkEnd w:id="21"/>
      <w:bookmarkEnd w:id="22"/>
      <w:bookmarkEnd w:id="25"/>
      <w:bookmarkEnd w:id="26"/>
      <w:bookmarkEnd w:id="27"/>
      <w:bookmarkEnd w:id="28"/>
      <w:r w:rsidRPr="00A41ABA">
        <w:rPr>
          <w:lang w:val="fr-FR"/>
        </w:rPr>
        <w:lastRenderedPageBreak/>
        <w:t>Qui fait appel aux formations IFP ?</w:t>
      </w:r>
      <w:bookmarkEnd w:id="29"/>
      <w:bookmarkEnd w:id="30"/>
    </w:p>
    <w:p w:rsidR="00734383" w:rsidRPr="007F1538" w:rsidRDefault="00873D90" w:rsidP="00734383">
      <w:pPr>
        <w:rPr>
          <w:b/>
          <w:szCs w:val="24"/>
          <w:lang w:val="fr-FR" w:eastAsia="nl-BE"/>
        </w:rPr>
      </w:pPr>
      <w:r w:rsidRPr="00873D90">
        <w:rPr>
          <w:szCs w:val="24"/>
          <w:lang w:val="fr-FR" w:eastAsia="nl-BE"/>
        </w:rPr>
        <w:t>Ci-dessous, nous considérons plus en détail les formations de l’IFP qui ont été suivies par des travailleurs des commissions paritaires 118 et 220.</w:t>
      </w:r>
    </w:p>
    <w:p w:rsidR="00354F6A" w:rsidRPr="007F1538" w:rsidRDefault="00873D90" w:rsidP="00873D90">
      <w:pPr>
        <w:pStyle w:val="Heading3"/>
        <w:rPr>
          <w:lang w:val="fr-FR"/>
        </w:rPr>
      </w:pPr>
      <w:bookmarkStart w:id="31" w:name="_Toc231044713"/>
      <w:bookmarkStart w:id="32" w:name="_Toc233192572"/>
      <w:bookmarkStart w:id="33" w:name="_Toc233194337"/>
      <w:bookmarkStart w:id="34" w:name="_Toc233194492"/>
      <w:bookmarkStart w:id="35" w:name="_Toc233607048"/>
      <w:bookmarkStart w:id="36" w:name="_Toc263170594"/>
      <w:bookmarkStart w:id="37" w:name="_Toc267060123"/>
      <w:bookmarkStart w:id="38" w:name="_Toc269220677"/>
      <w:r w:rsidRPr="00873D90">
        <w:rPr>
          <w:lang w:val="fr-FR"/>
        </w:rPr>
        <w:t>Formations en PME :</w:t>
      </w:r>
      <w:r w:rsidR="00354F6A" w:rsidRPr="007F1538">
        <w:rPr>
          <w:lang w:val="fr-FR"/>
        </w:rPr>
        <w:t xml:space="preserve"> </w:t>
      </w:r>
      <w:bookmarkEnd w:id="31"/>
      <w:bookmarkEnd w:id="32"/>
      <w:bookmarkEnd w:id="33"/>
      <w:bookmarkEnd w:id="34"/>
      <w:bookmarkEnd w:id="35"/>
      <w:bookmarkEnd w:id="36"/>
      <w:r w:rsidRPr="00873D90">
        <w:rPr>
          <w:lang w:val="fr-FR"/>
        </w:rPr>
        <w:t>un pas en avant</w:t>
      </w:r>
      <w:bookmarkEnd w:id="37"/>
      <w:bookmarkEnd w:id="38"/>
    </w:p>
    <w:p w:rsidR="00354F6A" w:rsidRPr="007F1538" w:rsidRDefault="00354F6A" w:rsidP="00354F6A">
      <w:pPr>
        <w:pStyle w:val="BodyText3"/>
        <w:spacing w:after="0"/>
        <w:rPr>
          <w:rFonts w:cs="Arial"/>
          <w:sz w:val="20"/>
          <w:szCs w:val="20"/>
          <w:lang w:val="fr-FR"/>
        </w:rPr>
      </w:pPr>
    </w:p>
    <w:p w:rsidR="00354F6A" w:rsidRPr="007F1538" w:rsidRDefault="00873D90" w:rsidP="00683FDF">
      <w:pPr>
        <w:rPr>
          <w:rFonts w:cs="Arial"/>
          <w:lang w:val="fr-FR"/>
        </w:rPr>
      </w:pPr>
      <w:r w:rsidRPr="008066E5">
        <w:rPr>
          <w:rFonts w:cs="Arial"/>
          <w:lang w:val="fr-FR"/>
        </w:rPr>
        <w:t>En 200</w:t>
      </w:r>
      <w:r w:rsidR="00B50531">
        <w:rPr>
          <w:rFonts w:cs="Arial"/>
          <w:lang w:val="fr-FR"/>
        </w:rPr>
        <w:t>9</w:t>
      </w:r>
      <w:r w:rsidRPr="008066E5">
        <w:rPr>
          <w:rFonts w:cs="Arial"/>
          <w:lang w:val="fr-FR"/>
        </w:rPr>
        <w:t xml:space="preserve">, l’équipe IFP a </w:t>
      </w:r>
      <w:r w:rsidR="00B50531">
        <w:rPr>
          <w:rFonts w:cs="Arial"/>
          <w:lang w:val="fr-FR"/>
        </w:rPr>
        <w:t>touché</w:t>
      </w:r>
      <w:r w:rsidRPr="008066E5">
        <w:rPr>
          <w:rFonts w:cs="Arial"/>
          <w:lang w:val="fr-FR"/>
        </w:rPr>
        <w:t xml:space="preserve"> 1.238 employeurs avec ses di</w:t>
      </w:r>
      <w:r w:rsidR="008066E5" w:rsidRPr="008066E5">
        <w:rPr>
          <w:rFonts w:cs="Arial"/>
          <w:lang w:val="fr-FR"/>
        </w:rPr>
        <w:t>verses initiatives de formation</w:t>
      </w:r>
      <w:r w:rsidRPr="008066E5">
        <w:rPr>
          <w:rFonts w:cs="Arial"/>
          <w:lang w:val="fr-FR"/>
        </w:rPr>
        <w:t>, soit plus d’un cinquième de tous les employeurs.</w:t>
      </w:r>
    </w:p>
    <w:p w:rsidR="00354F6A" w:rsidRPr="007F1538" w:rsidRDefault="00354F6A" w:rsidP="00683FDF">
      <w:pPr>
        <w:rPr>
          <w:rFonts w:cs="Arial"/>
          <w:lang w:val="fr-FR"/>
        </w:rPr>
      </w:pPr>
    </w:p>
    <w:p w:rsidR="00354F6A" w:rsidRPr="007F1538" w:rsidRDefault="007A50E0" w:rsidP="00683FDF">
      <w:pPr>
        <w:rPr>
          <w:rFonts w:cs="Arial"/>
          <w:lang w:val="fr-FR"/>
        </w:rPr>
      </w:pPr>
      <w:r>
        <w:rPr>
          <w:rFonts w:cs="Arial"/>
          <w:lang w:val="fr-FR"/>
        </w:rPr>
        <w:t>Tableau 6</w:t>
      </w:r>
      <w:r w:rsidR="00873D90" w:rsidRPr="00873D90">
        <w:rPr>
          <w:rFonts w:cs="Arial"/>
          <w:lang w:val="fr-FR"/>
        </w:rPr>
        <w:t> : couverture auprès des employeurs par le biais des initiatives de formation de l’IFP</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4"/>
        <w:gridCol w:w="964"/>
        <w:gridCol w:w="964"/>
        <w:gridCol w:w="964"/>
        <w:gridCol w:w="964"/>
        <w:gridCol w:w="964"/>
        <w:gridCol w:w="964"/>
        <w:gridCol w:w="964"/>
        <w:gridCol w:w="964"/>
      </w:tblGrid>
      <w:tr w:rsidR="00825EFF" w:rsidRPr="007F1538" w:rsidTr="00825EFF">
        <w:tc>
          <w:tcPr>
            <w:tcW w:w="1134" w:type="dxa"/>
            <w:vAlign w:val="center"/>
          </w:tcPr>
          <w:p w:rsidR="00825EFF" w:rsidRPr="007F1538" w:rsidRDefault="00873D90" w:rsidP="00690B4E">
            <w:pPr>
              <w:rPr>
                <w:rFonts w:cs="Arial"/>
                <w:bCs/>
                <w:iCs/>
                <w:lang w:val="fr-FR"/>
              </w:rPr>
            </w:pPr>
            <w:r w:rsidRPr="00873D90">
              <w:rPr>
                <w:rFonts w:cs="Arial"/>
                <w:bCs/>
                <w:iCs/>
                <w:lang w:val="fr-FR"/>
              </w:rPr>
              <w:t>Année</w:t>
            </w:r>
          </w:p>
        </w:tc>
        <w:tc>
          <w:tcPr>
            <w:tcW w:w="964" w:type="dxa"/>
            <w:vAlign w:val="center"/>
          </w:tcPr>
          <w:p w:rsidR="00825EFF" w:rsidRPr="007F1538" w:rsidRDefault="00825EFF" w:rsidP="00683FDF">
            <w:pPr>
              <w:rPr>
                <w:rFonts w:cs="Arial"/>
                <w:bCs/>
                <w:iCs/>
                <w:lang w:val="fr-FR"/>
              </w:rPr>
            </w:pPr>
            <w:r w:rsidRPr="007F1538">
              <w:rPr>
                <w:rFonts w:cs="Arial"/>
                <w:bCs/>
                <w:iCs/>
                <w:lang w:val="fr-FR"/>
              </w:rPr>
              <w:t>2002</w:t>
            </w:r>
          </w:p>
        </w:tc>
        <w:tc>
          <w:tcPr>
            <w:tcW w:w="964" w:type="dxa"/>
            <w:vAlign w:val="center"/>
          </w:tcPr>
          <w:p w:rsidR="00825EFF" w:rsidRPr="007F1538" w:rsidRDefault="00825EFF" w:rsidP="00683FDF">
            <w:pPr>
              <w:rPr>
                <w:rFonts w:cs="Arial"/>
                <w:bCs/>
                <w:iCs/>
                <w:lang w:val="fr-FR"/>
              </w:rPr>
            </w:pPr>
            <w:r w:rsidRPr="007F1538">
              <w:rPr>
                <w:rFonts w:cs="Arial"/>
                <w:bCs/>
                <w:iCs/>
                <w:lang w:val="fr-FR"/>
              </w:rPr>
              <w:t>2003</w:t>
            </w:r>
          </w:p>
        </w:tc>
        <w:tc>
          <w:tcPr>
            <w:tcW w:w="964" w:type="dxa"/>
          </w:tcPr>
          <w:p w:rsidR="00825EFF" w:rsidRPr="007F1538" w:rsidRDefault="00825EFF" w:rsidP="00683FDF">
            <w:pPr>
              <w:rPr>
                <w:rFonts w:cs="Arial"/>
                <w:bCs/>
                <w:iCs/>
                <w:lang w:val="fr-FR"/>
              </w:rPr>
            </w:pPr>
            <w:r w:rsidRPr="007F1538">
              <w:rPr>
                <w:rFonts w:cs="Arial"/>
                <w:bCs/>
                <w:iCs/>
                <w:lang w:val="fr-FR"/>
              </w:rPr>
              <w:t>2004</w:t>
            </w:r>
          </w:p>
        </w:tc>
        <w:tc>
          <w:tcPr>
            <w:tcW w:w="964" w:type="dxa"/>
          </w:tcPr>
          <w:p w:rsidR="00825EFF" w:rsidRPr="007F1538" w:rsidRDefault="00825EFF" w:rsidP="00683FDF">
            <w:pPr>
              <w:rPr>
                <w:rFonts w:cs="Arial"/>
                <w:bCs/>
                <w:iCs/>
                <w:lang w:val="fr-FR"/>
              </w:rPr>
            </w:pPr>
            <w:r w:rsidRPr="007F1538">
              <w:rPr>
                <w:rFonts w:cs="Arial"/>
                <w:bCs/>
                <w:iCs/>
                <w:lang w:val="fr-FR"/>
              </w:rPr>
              <w:t>2005</w:t>
            </w:r>
          </w:p>
        </w:tc>
        <w:tc>
          <w:tcPr>
            <w:tcW w:w="964" w:type="dxa"/>
          </w:tcPr>
          <w:p w:rsidR="00825EFF" w:rsidRPr="007F1538" w:rsidRDefault="00825EFF" w:rsidP="00683FDF">
            <w:pPr>
              <w:rPr>
                <w:rFonts w:cs="Arial"/>
                <w:bCs/>
                <w:iCs/>
                <w:lang w:val="fr-FR"/>
              </w:rPr>
            </w:pPr>
            <w:r w:rsidRPr="007F1538">
              <w:rPr>
                <w:rFonts w:cs="Arial"/>
                <w:bCs/>
                <w:iCs/>
                <w:lang w:val="fr-FR"/>
              </w:rPr>
              <w:t>2006</w:t>
            </w:r>
          </w:p>
        </w:tc>
        <w:tc>
          <w:tcPr>
            <w:tcW w:w="964" w:type="dxa"/>
            <w:vAlign w:val="center"/>
          </w:tcPr>
          <w:p w:rsidR="00825EFF" w:rsidRPr="007F1538" w:rsidRDefault="00825EFF" w:rsidP="00683FDF">
            <w:pPr>
              <w:rPr>
                <w:rFonts w:cs="Arial"/>
                <w:bCs/>
                <w:iCs/>
                <w:lang w:val="fr-FR"/>
              </w:rPr>
            </w:pPr>
            <w:r w:rsidRPr="007F1538">
              <w:rPr>
                <w:rFonts w:cs="Arial"/>
                <w:bCs/>
                <w:iCs/>
                <w:lang w:val="fr-FR"/>
              </w:rPr>
              <w:t>2007</w:t>
            </w:r>
          </w:p>
        </w:tc>
        <w:tc>
          <w:tcPr>
            <w:tcW w:w="964" w:type="dxa"/>
            <w:vAlign w:val="center"/>
          </w:tcPr>
          <w:p w:rsidR="00825EFF" w:rsidRPr="007F1538" w:rsidRDefault="00825EFF" w:rsidP="00683FDF">
            <w:pPr>
              <w:rPr>
                <w:rFonts w:cs="Arial"/>
                <w:bCs/>
                <w:iCs/>
                <w:lang w:val="fr-FR"/>
              </w:rPr>
            </w:pPr>
            <w:r w:rsidRPr="007F1538">
              <w:rPr>
                <w:rFonts w:cs="Arial"/>
                <w:bCs/>
                <w:iCs/>
                <w:lang w:val="fr-FR"/>
              </w:rPr>
              <w:t>2008</w:t>
            </w:r>
          </w:p>
        </w:tc>
        <w:tc>
          <w:tcPr>
            <w:tcW w:w="964" w:type="dxa"/>
          </w:tcPr>
          <w:p w:rsidR="00825EFF" w:rsidRPr="007F1538" w:rsidRDefault="00825EFF" w:rsidP="00683FDF">
            <w:pPr>
              <w:rPr>
                <w:rFonts w:cs="Arial"/>
                <w:bCs/>
                <w:iCs/>
                <w:lang w:val="fr-FR"/>
              </w:rPr>
            </w:pPr>
            <w:r w:rsidRPr="007F1538">
              <w:rPr>
                <w:rFonts w:cs="Arial"/>
                <w:bCs/>
                <w:iCs/>
                <w:lang w:val="fr-FR"/>
              </w:rPr>
              <w:t>2009</w:t>
            </w:r>
          </w:p>
        </w:tc>
      </w:tr>
      <w:tr w:rsidR="00825EFF" w:rsidRPr="007F1538" w:rsidTr="00825EFF">
        <w:tc>
          <w:tcPr>
            <w:tcW w:w="1134" w:type="dxa"/>
            <w:vAlign w:val="center"/>
          </w:tcPr>
          <w:p w:rsidR="00825EFF" w:rsidRPr="007F1538" w:rsidRDefault="00873D90" w:rsidP="00690B4E">
            <w:pPr>
              <w:rPr>
                <w:rFonts w:cs="Arial"/>
                <w:lang w:val="fr-FR"/>
              </w:rPr>
            </w:pPr>
            <w:r w:rsidRPr="00873D90">
              <w:rPr>
                <w:rFonts w:cs="Arial"/>
                <w:lang w:val="fr-FR"/>
              </w:rPr>
              <w:t>Couverture (abs.)</w:t>
            </w:r>
          </w:p>
        </w:tc>
        <w:tc>
          <w:tcPr>
            <w:tcW w:w="964" w:type="dxa"/>
            <w:vAlign w:val="center"/>
          </w:tcPr>
          <w:p w:rsidR="00825EFF" w:rsidRPr="007F1538" w:rsidRDefault="00825EFF" w:rsidP="00683FDF">
            <w:pPr>
              <w:rPr>
                <w:rFonts w:cs="Arial"/>
                <w:lang w:val="fr-FR"/>
              </w:rPr>
            </w:pPr>
            <w:r w:rsidRPr="007F1538">
              <w:rPr>
                <w:rFonts w:cs="Arial"/>
                <w:lang w:val="fr-FR"/>
              </w:rPr>
              <w:t>631</w:t>
            </w:r>
          </w:p>
        </w:tc>
        <w:tc>
          <w:tcPr>
            <w:tcW w:w="964" w:type="dxa"/>
            <w:vAlign w:val="center"/>
          </w:tcPr>
          <w:p w:rsidR="00825EFF" w:rsidRPr="007F1538" w:rsidRDefault="00825EFF" w:rsidP="00683FDF">
            <w:pPr>
              <w:rPr>
                <w:rFonts w:cs="Arial"/>
                <w:lang w:val="fr-FR"/>
              </w:rPr>
            </w:pPr>
            <w:r w:rsidRPr="007F1538">
              <w:rPr>
                <w:rFonts w:cs="Arial"/>
                <w:lang w:val="fr-FR"/>
              </w:rPr>
              <w:t>743</w:t>
            </w:r>
          </w:p>
        </w:tc>
        <w:tc>
          <w:tcPr>
            <w:tcW w:w="964" w:type="dxa"/>
            <w:vAlign w:val="center"/>
          </w:tcPr>
          <w:p w:rsidR="00825EFF" w:rsidRPr="007F1538" w:rsidRDefault="00825EFF" w:rsidP="00683FDF">
            <w:pPr>
              <w:rPr>
                <w:rFonts w:cs="Arial"/>
                <w:lang w:val="fr-FR"/>
              </w:rPr>
            </w:pPr>
            <w:r w:rsidRPr="007F1538">
              <w:rPr>
                <w:rFonts w:cs="Arial"/>
                <w:lang w:val="fr-FR"/>
              </w:rPr>
              <w:t>770</w:t>
            </w:r>
          </w:p>
        </w:tc>
        <w:tc>
          <w:tcPr>
            <w:tcW w:w="964" w:type="dxa"/>
            <w:vAlign w:val="center"/>
          </w:tcPr>
          <w:p w:rsidR="00825EFF" w:rsidRPr="007F1538" w:rsidRDefault="00825EFF" w:rsidP="00683FDF">
            <w:pPr>
              <w:rPr>
                <w:rFonts w:cs="Arial"/>
                <w:lang w:val="fr-FR"/>
              </w:rPr>
            </w:pPr>
            <w:r w:rsidRPr="007F1538">
              <w:rPr>
                <w:rFonts w:cs="Arial"/>
                <w:lang w:val="fr-FR"/>
              </w:rPr>
              <w:t>746</w:t>
            </w:r>
          </w:p>
        </w:tc>
        <w:tc>
          <w:tcPr>
            <w:tcW w:w="964" w:type="dxa"/>
            <w:vAlign w:val="center"/>
          </w:tcPr>
          <w:p w:rsidR="00825EFF" w:rsidRPr="007F1538" w:rsidRDefault="00825EFF" w:rsidP="00683FDF">
            <w:pPr>
              <w:rPr>
                <w:rFonts w:cs="Arial"/>
                <w:bCs/>
                <w:iCs/>
                <w:lang w:val="fr-FR"/>
              </w:rPr>
            </w:pPr>
            <w:r w:rsidRPr="007F1538">
              <w:rPr>
                <w:rFonts w:cs="Arial"/>
                <w:bCs/>
                <w:iCs/>
                <w:lang w:val="fr-FR"/>
              </w:rPr>
              <w:t>784</w:t>
            </w:r>
          </w:p>
        </w:tc>
        <w:tc>
          <w:tcPr>
            <w:tcW w:w="964" w:type="dxa"/>
            <w:vAlign w:val="center"/>
          </w:tcPr>
          <w:p w:rsidR="00825EFF" w:rsidRPr="007F1538" w:rsidRDefault="00825EFF" w:rsidP="00683FDF">
            <w:pPr>
              <w:rPr>
                <w:rFonts w:cs="Arial"/>
                <w:lang w:val="fr-FR"/>
              </w:rPr>
            </w:pPr>
            <w:r w:rsidRPr="007F1538">
              <w:rPr>
                <w:rFonts w:cs="Arial"/>
                <w:lang w:val="fr-FR"/>
              </w:rPr>
              <w:t>809</w:t>
            </w:r>
          </w:p>
        </w:tc>
        <w:tc>
          <w:tcPr>
            <w:tcW w:w="964" w:type="dxa"/>
            <w:vAlign w:val="center"/>
          </w:tcPr>
          <w:p w:rsidR="00825EFF" w:rsidRPr="007F1538" w:rsidRDefault="00825EFF" w:rsidP="00683FDF">
            <w:pPr>
              <w:rPr>
                <w:rFonts w:cs="Arial"/>
                <w:highlight w:val="cyan"/>
                <w:lang w:val="fr-FR"/>
              </w:rPr>
            </w:pPr>
            <w:r w:rsidRPr="007F1538">
              <w:rPr>
                <w:rFonts w:cs="Arial"/>
                <w:lang w:val="fr-FR"/>
              </w:rPr>
              <w:t>851</w:t>
            </w:r>
          </w:p>
        </w:tc>
        <w:tc>
          <w:tcPr>
            <w:tcW w:w="964" w:type="dxa"/>
          </w:tcPr>
          <w:p w:rsidR="00825EFF" w:rsidRPr="007F1538" w:rsidRDefault="00AF4AFC" w:rsidP="009237BF">
            <w:pPr>
              <w:rPr>
                <w:rFonts w:cs="Arial"/>
                <w:lang w:val="fr-FR"/>
              </w:rPr>
            </w:pPr>
            <w:r w:rsidRPr="007F1538">
              <w:rPr>
                <w:rFonts w:cs="Arial"/>
                <w:lang w:val="fr-FR"/>
              </w:rPr>
              <w:t xml:space="preserve"> </w:t>
            </w:r>
            <w:r w:rsidR="009237BF" w:rsidRPr="007F1538">
              <w:rPr>
                <w:rFonts w:cs="Arial"/>
                <w:lang w:val="fr-FR"/>
              </w:rPr>
              <w:t>1.238</w:t>
            </w:r>
          </w:p>
        </w:tc>
      </w:tr>
      <w:tr w:rsidR="00825EFF" w:rsidRPr="007F1538" w:rsidTr="00825EFF">
        <w:tc>
          <w:tcPr>
            <w:tcW w:w="1134" w:type="dxa"/>
            <w:tcBorders>
              <w:top w:val="single" w:sz="4" w:space="0" w:color="auto"/>
              <w:left w:val="single" w:sz="4" w:space="0" w:color="auto"/>
              <w:bottom w:val="single" w:sz="4" w:space="0" w:color="auto"/>
              <w:right w:val="single" w:sz="4" w:space="0" w:color="auto"/>
            </w:tcBorders>
            <w:vAlign w:val="center"/>
          </w:tcPr>
          <w:p w:rsidR="00825EFF" w:rsidRPr="007F1538" w:rsidRDefault="00873D90" w:rsidP="00690B4E">
            <w:pPr>
              <w:rPr>
                <w:rFonts w:cs="Arial"/>
                <w:lang w:val="fr-FR"/>
              </w:rPr>
            </w:pPr>
            <w:r w:rsidRPr="00873D90">
              <w:rPr>
                <w:rFonts w:cs="Arial"/>
                <w:lang w:val="fr-FR"/>
              </w:rPr>
              <w:t>Population</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lang w:val="fr-FR"/>
              </w:rPr>
            </w:pPr>
            <w:r w:rsidRPr="007F1538">
              <w:rPr>
                <w:rFonts w:cs="Arial"/>
                <w:lang w:val="fr-FR"/>
              </w:rPr>
              <w:t>6.334</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lang w:val="fr-FR"/>
              </w:rPr>
            </w:pPr>
            <w:r w:rsidRPr="007F1538">
              <w:rPr>
                <w:rFonts w:cs="Arial"/>
                <w:lang w:val="fr-FR"/>
              </w:rPr>
              <w:t>6.222</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lang w:val="fr-FR"/>
              </w:rPr>
            </w:pPr>
            <w:r w:rsidRPr="007F1538">
              <w:rPr>
                <w:rFonts w:cs="Arial"/>
                <w:lang w:val="fr-FR"/>
              </w:rPr>
              <w:t>6.239</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lang w:val="fr-FR"/>
              </w:rPr>
            </w:pPr>
            <w:r w:rsidRPr="007F1538">
              <w:rPr>
                <w:rFonts w:cs="Arial"/>
                <w:lang w:val="fr-FR"/>
              </w:rPr>
              <w:t>6.036</w:t>
            </w:r>
          </w:p>
        </w:tc>
        <w:tc>
          <w:tcPr>
            <w:tcW w:w="964" w:type="dxa"/>
            <w:tcBorders>
              <w:top w:val="single" w:sz="4" w:space="0" w:color="auto"/>
              <w:left w:val="single" w:sz="4" w:space="0" w:color="auto"/>
              <w:bottom w:val="single" w:sz="4" w:space="0" w:color="auto"/>
              <w:right w:val="single" w:sz="4" w:space="0" w:color="auto"/>
            </w:tcBorders>
          </w:tcPr>
          <w:p w:rsidR="00825EFF" w:rsidRPr="007F1538" w:rsidRDefault="00825EFF" w:rsidP="00683FDF">
            <w:pPr>
              <w:rPr>
                <w:rFonts w:cs="Arial"/>
                <w:bCs/>
                <w:iCs/>
                <w:lang w:val="fr-FR"/>
              </w:rPr>
            </w:pPr>
            <w:r w:rsidRPr="007F1538">
              <w:rPr>
                <w:rFonts w:cs="Arial"/>
                <w:bCs/>
                <w:iCs/>
                <w:lang w:val="fr-FR"/>
              </w:rPr>
              <w:t>5.944</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lang w:val="fr-FR"/>
              </w:rPr>
            </w:pPr>
            <w:r w:rsidRPr="007F1538">
              <w:rPr>
                <w:rFonts w:cs="Arial"/>
                <w:iCs/>
                <w:lang w:val="fr-FR" w:eastAsia="en-US"/>
              </w:rPr>
              <w:t>5.842</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highlight w:val="cyan"/>
                <w:lang w:val="fr-FR"/>
              </w:rPr>
            </w:pPr>
            <w:r w:rsidRPr="007F1538">
              <w:rPr>
                <w:rFonts w:cs="Arial"/>
                <w:lang w:val="fr-FR"/>
              </w:rPr>
              <w:t>5.732</w:t>
            </w:r>
          </w:p>
        </w:tc>
        <w:tc>
          <w:tcPr>
            <w:tcW w:w="964" w:type="dxa"/>
            <w:tcBorders>
              <w:top w:val="single" w:sz="4" w:space="0" w:color="auto"/>
              <w:left w:val="single" w:sz="4" w:space="0" w:color="auto"/>
              <w:bottom w:val="single" w:sz="4" w:space="0" w:color="auto"/>
              <w:right w:val="single" w:sz="4" w:space="0" w:color="auto"/>
            </w:tcBorders>
          </w:tcPr>
          <w:p w:rsidR="00825EFF" w:rsidRPr="007F1538" w:rsidRDefault="003D4097" w:rsidP="00683FDF">
            <w:pPr>
              <w:rPr>
                <w:rFonts w:cs="Arial"/>
                <w:lang w:val="fr-FR"/>
              </w:rPr>
            </w:pPr>
            <w:r w:rsidRPr="007F1538">
              <w:rPr>
                <w:rFonts w:cs="Arial"/>
                <w:lang w:val="fr-FR"/>
              </w:rPr>
              <w:t>5.732</w:t>
            </w:r>
          </w:p>
        </w:tc>
      </w:tr>
      <w:tr w:rsidR="00825EFF" w:rsidRPr="007F1538" w:rsidTr="00825EFF">
        <w:tc>
          <w:tcPr>
            <w:tcW w:w="1134" w:type="dxa"/>
            <w:tcBorders>
              <w:top w:val="single" w:sz="4" w:space="0" w:color="auto"/>
              <w:left w:val="single" w:sz="4" w:space="0" w:color="auto"/>
              <w:bottom w:val="single" w:sz="4" w:space="0" w:color="auto"/>
              <w:right w:val="single" w:sz="4" w:space="0" w:color="auto"/>
            </w:tcBorders>
            <w:vAlign w:val="center"/>
          </w:tcPr>
          <w:p w:rsidR="00825EFF" w:rsidRPr="007F1538" w:rsidRDefault="00873D90" w:rsidP="00690B4E">
            <w:pPr>
              <w:rPr>
                <w:rFonts w:cs="Arial"/>
                <w:i/>
                <w:lang w:val="fr-FR"/>
              </w:rPr>
            </w:pPr>
            <w:r w:rsidRPr="00873D90">
              <w:rPr>
                <w:rFonts w:cs="Arial"/>
                <w:i/>
                <w:lang w:val="fr-FR"/>
              </w:rPr>
              <w:t>Couverture (%)</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i/>
                <w:lang w:val="fr-FR"/>
              </w:rPr>
            </w:pPr>
            <w:r w:rsidRPr="007F1538">
              <w:rPr>
                <w:rFonts w:cs="Arial"/>
                <w:i/>
                <w:lang w:val="fr-FR"/>
              </w:rPr>
              <w:t>10,0%</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i/>
                <w:lang w:val="fr-FR"/>
              </w:rPr>
            </w:pPr>
            <w:r w:rsidRPr="007F1538">
              <w:rPr>
                <w:rFonts w:cs="Arial"/>
                <w:i/>
                <w:lang w:val="fr-FR"/>
              </w:rPr>
              <w:t>11,9%</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i/>
                <w:lang w:val="fr-FR"/>
              </w:rPr>
            </w:pPr>
            <w:r w:rsidRPr="007F1538">
              <w:rPr>
                <w:rFonts w:cs="Arial"/>
                <w:i/>
                <w:lang w:val="fr-FR"/>
              </w:rPr>
              <w:t>12,3%</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i/>
                <w:lang w:val="fr-FR"/>
              </w:rPr>
            </w:pPr>
            <w:r w:rsidRPr="007F1538">
              <w:rPr>
                <w:rFonts w:cs="Arial"/>
                <w:i/>
                <w:lang w:val="fr-FR"/>
              </w:rPr>
              <w:t>12,3%</w:t>
            </w:r>
          </w:p>
        </w:tc>
        <w:tc>
          <w:tcPr>
            <w:tcW w:w="964" w:type="dxa"/>
            <w:tcBorders>
              <w:top w:val="single" w:sz="4" w:space="0" w:color="auto"/>
              <w:left w:val="single" w:sz="4" w:space="0" w:color="auto"/>
              <w:bottom w:val="single" w:sz="4" w:space="0" w:color="auto"/>
              <w:right w:val="single" w:sz="4" w:space="0" w:color="auto"/>
            </w:tcBorders>
          </w:tcPr>
          <w:p w:rsidR="00825EFF" w:rsidRPr="007F1538" w:rsidRDefault="00825EFF" w:rsidP="00683FDF">
            <w:pPr>
              <w:rPr>
                <w:rFonts w:cs="Arial"/>
                <w:bCs/>
                <w:i/>
                <w:iCs/>
                <w:lang w:val="fr-FR"/>
              </w:rPr>
            </w:pPr>
            <w:r w:rsidRPr="007F1538">
              <w:rPr>
                <w:rFonts w:cs="Arial"/>
                <w:bCs/>
                <w:i/>
                <w:iCs/>
                <w:lang w:val="fr-FR"/>
              </w:rPr>
              <w:t>13,2 %</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i/>
                <w:lang w:val="fr-FR"/>
              </w:rPr>
            </w:pPr>
            <w:r w:rsidRPr="007F1538">
              <w:rPr>
                <w:rFonts w:cs="Arial"/>
                <w:i/>
                <w:lang w:val="fr-FR"/>
              </w:rPr>
              <w:t>13,8%</w:t>
            </w:r>
          </w:p>
        </w:tc>
        <w:tc>
          <w:tcPr>
            <w:tcW w:w="964" w:type="dxa"/>
            <w:tcBorders>
              <w:top w:val="single" w:sz="4" w:space="0" w:color="auto"/>
              <w:left w:val="single" w:sz="4" w:space="0" w:color="auto"/>
              <w:bottom w:val="single" w:sz="4" w:space="0" w:color="auto"/>
              <w:right w:val="single" w:sz="4" w:space="0" w:color="auto"/>
            </w:tcBorders>
            <w:vAlign w:val="center"/>
          </w:tcPr>
          <w:p w:rsidR="00825EFF" w:rsidRPr="007F1538" w:rsidRDefault="00825EFF" w:rsidP="00683FDF">
            <w:pPr>
              <w:rPr>
                <w:rFonts w:cs="Arial"/>
                <w:i/>
                <w:lang w:val="fr-FR"/>
              </w:rPr>
            </w:pPr>
            <w:r w:rsidRPr="007F1538">
              <w:rPr>
                <w:rFonts w:cs="Arial"/>
                <w:i/>
                <w:lang w:val="fr-FR"/>
              </w:rPr>
              <w:t>14,8%</w:t>
            </w:r>
          </w:p>
        </w:tc>
        <w:tc>
          <w:tcPr>
            <w:tcW w:w="964" w:type="dxa"/>
            <w:tcBorders>
              <w:top w:val="single" w:sz="4" w:space="0" w:color="auto"/>
              <w:left w:val="single" w:sz="4" w:space="0" w:color="auto"/>
              <w:bottom w:val="single" w:sz="4" w:space="0" w:color="auto"/>
              <w:right w:val="single" w:sz="4" w:space="0" w:color="auto"/>
            </w:tcBorders>
          </w:tcPr>
          <w:p w:rsidR="00825EFF" w:rsidRPr="007F1538" w:rsidRDefault="00AF4AFC" w:rsidP="009237BF">
            <w:pPr>
              <w:rPr>
                <w:rFonts w:cs="Arial"/>
                <w:i/>
                <w:lang w:val="fr-FR"/>
              </w:rPr>
            </w:pPr>
            <w:r w:rsidRPr="007F1538">
              <w:rPr>
                <w:rFonts w:cs="Arial"/>
                <w:i/>
                <w:lang w:val="fr-FR"/>
              </w:rPr>
              <w:t>2</w:t>
            </w:r>
            <w:r w:rsidR="009237BF" w:rsidRPr="007F1538">
              <w:rPr>
                <w:rFonts w:cs="Arial"/>
                <w:i/>
                <w:lang w:val="fr-FR"/>
              </w:rPr>
              <w:t>1,6</w:t>
            </w:r>
            <w:r w:rsidRPr="007F1538">
              <w:rPr>
                <w:rFonts w:cs="Arial"/>
                <w:i/>
                <w:lang w:val="fr-FR"/>
              </w:rPr>
              <w:t>%</w:t>
            </w:r>
          </w:p>
        </w:tc>
      </w:tr>
    </w:tbl>
    <w:p w:rsidR="00354F6A" w:rsidRPr="007F1538" w:rsidRDefault="00354F6A" w:rsidP="00683FDF">
      <w:pPr>
        <w:rPr>
          <w:rFonts w:cs="Arial"/>
          <w:lang w:val="fr-FR"/>
        </w:rPr>
      </w:pPr>
    </w:p>
    <w:p w:rsidR="00AF4AFC" w:rsidRPr="007F1538" w:rsidRDefault="00873D90" w:rsidP="00683FDF">
      <w:pPr>
        <w:rPr>
          <w:rFonts w:cs="Arial"/>
          <w:lang w:val="fr-FR"/>
        </w:rPr>
      </w:pPr>
      <w:r w:rsidRPr="00873D90">
        <w:rPr>
          <w:rFonts w:cs="Arial"/>
          <w:lang w:val="fr-FR"/>
        </w:rPr>
        <w:t>Le fonctionnement spécifique à destination des boulangers a porté ses fruits.</w:t>
      </w:r>
      <w:r w:rsidR="00AF4AFC" w:rsidRPr="007F1538">
        <w:rPr>
          <w:rFonts w:cs="Arial"/>
          <w:lang w:val="fr-FR"/>
        </w:rPr>
        <w:t xml:space="preserve"> </w:t>
      </w:r>
      <w:r w:rsidRPr="00983E86">
        <w:rPr>
          <w:rFonts w:cs="Arial"/>
          <w:lang w:val="fr-FR"/>
        </w:rPr>
        <w:t>En 2009, un nombre sensiblement plus important d’entreprises de moins de dix travailleurs a été atteint :</w:t>
      </w:r>
      <w:r w:rsidR="003B6139" w:rsidRPr="007F1538">
        <w:rPr>
          <w:rFonts w:cs="Arial"/>
          <w:lang w:val="fr-FR"/>
        </w:rPr>
        <w:t xml:space="preserve"> </w:t>
      </w:r>
      <w:r w:rsidRPr="00873D90">
        <w:rPr>
          <w:rFonts w:cs="Arial"/>
          <w:lang w:val="fr-FR"/>
        </w:rPr>
        <w:t>moins de 5% en 2008</w:t>
      </w:r>
      <w:r w:rsidR="00B50531">
        <w:rPr>
          <w:rFonts w:cs="Arial"/>
          <w:lang w:val="fr-FR"/>
        </w:rPr>
        <w:t xml:space="preserve"> mais</w:t>
      </w:r>
      <w:r w:rsidRPr="00873D90">
        <w:rPr>
          <w:rFonts w:cs="Arial"/>
          <w:lang w:val="fr-FR"/>
        </w:rPr>
        <w:t xml:space="preserve"> 14% en 2009.</w:t>
      </w:r>
      <w:r w:rsidR="003B6139" w:rsidRPr="00873D90">
        <w:rPr>
          <w:rFonts w:cs="Arial"/>
          <w:lang w:val="fr-FR"/>
        </w:rPr>
        <w:t xml:space="preserve"> </w:t>
      </w:r>
      <w:r w:rsidRPr="00873D90">
        <w:rPr>
          <w:rFonts w:cs="Arial"/>
          <w:lang w:val="fr-FR"/>
        </w:rPr>
        <w:t>L’augmentation est essentiellement le résultat d’une couverture plus importante des boulangeries artisanales.</w:t>
      </w:r>
      <w:r w:rsidR="003B6139" w:rsidRPr="007F1538">
        <w:rPr>
          <w:rFonts w:cs="Arial"/>
          <w:lang w:val="fr-FR"/>
        </w:rPr>
        <w:t xml:space="preserve"> </w:t>
      </w:r>
      <w:r w:rsidRPr="00873D90">
        <w:rPr>
          <w:rFonts w:cs="Arial"/>
          <w:lang w:val="fr-FR"/>
        </w:rPr>
        <w:t>La couverture des PME entre 10 et 49 travailleurs a légèrement diminué :</w:t>
      </w:r>
      <w:r w:rsidR="003B6139" w:rsidRPr="007F1538">
        <w:rPr>
          <w:rFonts w:cs="Arial"/>
          <w:lang w:val="fr-FR"/>
        </w:rPr>
        <w:t xml:space="preserve"> </w:t>
      </w:r>
      <w:r w:rsidRPr="00873D90">
        <w:rPr>
          <w:rFonts w:cs="Arial"/>
          <w:lang w:val="fr-FR"/>
        </w:rPr>
        <w:t>de 34,1% à 30,2%.</w:t>
      </w:r>
      <w:r w:rsidR="003B6139" w:rsidRPr="007F1538">
        <w:rPr>
          <w:rFonts w:cs="Arial"/>
          <w:lang w:val="fr-FR"/>
        </w:rPr>
        <w:t xml:space="preserve"> </w:t>
      </w:r>
      <w:r w:rsidRPr="00873D90">
        <w:rPr>
          <w:rFonts w:cs="Arial"/>
          <w:lang w:val="fr-FR"/>
        </w:rPr>
        <w:t>Tout comme l’année passée, presque toutes les PME ayant un effectif compris entre 50 et 99 travailleurs ont été couvertes.</w:t>
      </w:r>
      <w:r w:rsidR="003B6139" w:rsidRPr="007F1538">
        <w:rPr>
          <w:rFonts w:cs="Arial"/>
          <w:lang w:val="fr-FR"/>
        </w:rPr>
        <w:t xml:space="preserve"> </w:t>
      </w:r>
      <w:r w:rsidRPr="00873D90">
        <w:rPr>
          <w:rFonts w:cs="Arial"/>
          <w:lang w:val="fr-FR"/>
        </w:rPr>
        <w:t>Toutes les grandes entreprises (&gt; 100 travailleurs) ont fait appel à l’IFP.</w:t>
      </w:r>
    </w:p>
    <w:p w:rsidR="005B6D31" w:rsidRPr="007F1538" w:rsidRDefault="005B6D31" w:rsidP="00683FDF">
      <w:pPr>
        <w:rPr>
          <w:rFonts w:cs="Arial"/>
          <w:lang w:val="fr-FR"/>
        </w:rPr>
      </w:pPr>
    </w:p>
    <w:p w:rsidR="005B6D31" w:rsidRPr="007F1538" w:rsidRDefault="007A50E0" w:rsidP="00683FDF">
      <w:pPr>
        <w:rPr>
          <w:rFonts w:cs="Arial"/>
          <w:lang w:val="fr-FR"/>
        </w:rPr>
      </w:pPr>
      <w:r>
        <w:rPr>
          <w:rFonts w:cs="Arial"/>
          <w:lang w:val="fr-FR"/>
        </w:rPr>
        <w:t>Tableau 7</w:t>
      </w:r>
      <w:r w:rsidR="00873D90" w:rsidRPr="00873D90">
        <w:rPr>
          <w:rFonts w:cs="Arial"/>
          <w:lang w:val="fr-FR"/>
        </w:rPr>
        <w:t> : couverture auprès des employeurs en % du nombre d’entreprises selon la taille</w:t>
      </w:r>
    </w:p>
    <w:tbl>
      <w:tblPr>
        <w:tblW w:w="8941" w:type="dxa"/>
        <w:tblInd w:w="98" w:type="dxa"/>
        <w:tblLayout w:type="fixed"/>
        <w:tblLook w:val="0000"/>
      </w:tblPr>
      <w:tblGrid>
        <w:gridCol w:w="1003"/>
        <w:gridCol w:w="992"/>
        <w:gridCol w:w="1134"/>
        <w:gridCol w:w="992"/>
        <w:gridCol w:w="992"/>
        <w:gridCol w:w="993"/>
        <w:gridCol w:w="992"/>
        <w:gridCol w:w="992"/>
        <w:gridCol w:w="851"/>
      </w:tblGrid>
      <w:tr w:rsidR="003D4097" w:rsidRPr="007F1538" w:rsidTr="00873D90">
        <w:tc>
          <w:tcPr>
            <w:tcW w:w="10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992" w:type="dxa"/>
            <w:tcBorders>
              <w:top w:val="single" w:sz="8" w:space="0" w:color="auto"/>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992" w:type="dxa"/>
            <w:tcBorders>
              <w:top w:val="single" w:sz="8" w:space="0" w:color="auto"/>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992" w:type="dxa"/>
            <w:tcBorders>
              <w:top w:val="single" w:sz="8" w:space="0" w:color="auto"/>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993" w:type="dxa"/>
            <w:tcBorders>
              <w:top w:val="single" w:sz="8" w:space="0" w:color="auto"/>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992" w:type="dxa"/>
            <w:tcBorders>
              <w:top w:val="single" w:sz="8" w:space="0" w:color="auto"/>
              <w:left w:val="nil"/>
              <w:bottom w:val="single" w:sz="8" w:space="0" w:color="auto"/>
              <w:right w:val="single" w:sz="4" w:space="0" w:color="auto"/>
            </w:tcBorders>
          </w:tcPr>
          <w:p w:rsidR="003D4097" w:rsidRPr="007F1538" w:rsidRDefault="003D4097" w:rsidP="00DF18D4">
            <w:pPr>
              <w:jc w:val="center"/>
              <w:rPr>
                <w:rFonts w:cs="Arial"/>
                <w:lang w:val="fr-FR" w:eastAsia="en-US"/>
              </w:rPr>
            </w:pPr>
          </w:p>
        </w:tc>
        <w:tc>
          <w:tcPr>
            <w:tcW w:w="1843" w:type="dxa"/>
            <w:gridSpan w:val="2"/>
            <w:tcBorders>
              <w:top w:val="single" w:sz="8" w:space="0" w:color="auto"/>
              <w:left w:val="single" w:sz="4" w:space="0" w:color="auto"/>
              <w:bottom w:val="single" w:sz="8" w:space="0" w:color="auto"/>
              <w:right w:val="single" w:sz="8" w:space="0" w:color="auto"/>
            </w:tcBorders>
            <w:shd w:val="clear" w:color="auto" w:fill="auto"/>
            <w:noWrap/>
            <w:vAlign w:val="bottom"/>
          </w:tcPr>
          <w:p w:rsidR="003D4097" w:rsidRPr="007F1538" w:rsidRDefault="003D4097" w:rsidP="00DF18D4">
            <w:pPr>
              <w:jc w:val="center"/>
              <w:rPr>
                <w:rFonts w:cs="Arial"/>
                <w:lang w:val="fr-FR" w:eastAsia="en-US"/>
              </w:rPr>
            </w:pPr>
            <w:r w:rsidRPr="007F1538">
              <w:rPr>
                <w:rFonts w:cs="Arial"/>
                <w:lang w:val="fr-FR" w:eastAsia="en-US"/>
              </w:rPr>
              <w:t>2009</w:t>
            </w:r>
          </w:p>
        </w:tc>
      </w:tr>
      <w:tr w:rsidR="003D4097" w:rsidRPr="007F1538" w:rsidTr="00873D90">
        <w:tc>
          <w:tcPr>
            <w:tcW w:w="1003" w:type="dxa"/>
            <w:tcBorders>
              <w:top w:val="nil"/>
              <w:left w:val="single" w:sz="8" w:space="0" w:color="auto"/>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w:t>
            </w:r>
          </w:p>
        </w:tc>
        <w:tc>
          <w:tcPr>
            <w:tcW w:w="992"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2004</w:t>
            </w:r>
          </w:p>
        </w:tc>
        <w:tc>
          <w:tcPr>
            <w:tcW w:w="1134"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2005</w:t>
            </w:r>
          </w:p>
        </w:tc>
        <w:tc>
          <w:tcPr>
            <w:tcW w:w="992"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2006</w:t>
            </w:r>
          </w:p>
        </w:tc>
        <w:tc>
          <w:tcPr>
            <w:tcW w:w="992"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2007</w:t>
            </w:r>
          </w:p>
        </w:tc>
        <w:tc>
          <w:tcPr>
            <w:tcW w:w="993"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2008</w:t>
            </w:r>
          </w:p>
        </w:tc>
        <w:tc>
          <w:tcPr>
            <w:tcW w:w="992" w:type="dxa"/>
            <w:tcBorders>
              <w:top w:val="single" w:sz="8" w:space="0" w:color="auto"/>
              <w:left w:val="nil"/>
              <w:bottom w:val="single" w:sz="8" w:space="0" w:color="auto"/>
              <w:right w:val="single" w:sz="4" w:space="0" w:color="auto"/>
            </w:tcBorders>
          </w:tcPr>
          <w:p w:rsidR="003D4097" w:rsidRPr="007F1538" w:rsidRDefault="003D4097" w:rsidP="00683FDF">
            <w:pPr>
              <w:rPr>
                <w:rFonts w:cs="Arial"/>
                <w:lang w:val="fr-FR" w:eastAsia="en-US"/>
              </w:rPr>
            </w:pPr>
          </w:p>
          <w:p w:rsidR="003D4097" w:rsidRPr="007F1538" w:rsidRDefault="003D4097" w:rsidP="00683FDF">
            <w:pPr>
              <w:rPr>
                <w:rFonts w:cs="Arial"/>
                <w:lang w:val="fr-FR" w:eastAsia="en-US"/>
              </w:rPr>
            </w:pPr>
            <w:r w:rsidRPr="007F1538">
              <w:rPr>
                <w:rFonts w:cs="Arial"/>
                <w:lang w:val="fr-FR" w:eastAsia="en-US"/>
              </w:rPr>
              <w:t>2009</w:t>
            </w: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3D4097" w:rsidRPr="007F1538" w:rsidRDefault="00873D90" w:rsidP="00690B4E">
            <w:pPr>
              <w:rPr>
                <w:rFonts w:cs="Arial"/>
                <w:lang w:val="fr-FR" w:eastAsia="en-US"/>
              </w:rPr>
            </w:pPr>
            <w:r w:rsidRPr="00873D90">
              <w:rPr>
                <w:rFonts w:cs="Arial"/>
                <w:lang w:val="fr-FR" w:eastAsia="en-US"/>
              </w:rPr>
              <w:t>Couverture (abs.)</w:t>
            </w:r>
          </w:p>
        </w:tc>
        <w:tc>
          <w:tcPr>
            <w:tcW w:w="851" w:type="dxa"/>
            <w:tcBorders>
              <w:top w:val="nil"/>
              <w:left w:val="nil"/>
              <w:bottom w:val="single" w:sz="8" w:space="0" w:color="auto"/>
              <w:right w:val="single" w:sz="8" w:space="0" w:color="auto"/>
            </w:tcBorders>
            <w:shd w:val="clear" w:color="auto" w:fill="auto"/>
            <w:noWrap/>
            <w:vAlign w:val="bottom"/>
          </w:tcPr>
          <w:p w:rsidR="003D4097" w:rsidRPr="007F1538" w:rsidRDefault="00873D90" w:rsidP="00690B4E">
            <w:pPr>
              <w:rPr>
                <w:rFonts w:cs="Arial"/>
                <w:lang w:val="fr-FR" w:eastAsia="en-US"/>
              </w:rPr>
            </w:pPr>
            <w:r w:rsidRPr="00873D90">
              <w:rPr>
                <w:rFonts w:cs="Arial"/>
                <w:lang w:val="fr-FR" w:eastAsia="en-US"/>
              </w:rPr>
              <w:t>Population</w:t>
            </w:r>
          </w:p>
        </w:tc>
      </w:tr>
      <w:tr w:rsidR="003D4097" w:rsidRPr="007F1538" w:rsidTr="00873D90">
        <w:tc>
          <w:tcPr>
            <w:tcW w:w="1003" w:type="dxa"/>
            <w:tcBorders>
              <w:top w:val="nil"/>
              <w:left w:val="single" w:sz="8" w:space="0" w:color="auto"/>
              <w:bottom w:val="single" w:sz="8" w:space="0" w:color="auto"/>
              <w:right w:val="single" w:sz="8" w:space="0" w:color="auto"/>
            </w:tcBorders>
            <w:shd w:val="clear" w:color="auto" w:fill="auto"/>
            <w:noWrap/>
          </w:tcPr>
          <w:p w:rsidR="003D4097" w:rsidRPr="007F1538" w:rsidRDefault="003D4097" w:rsidP="00683FDF">
            <w:pPr>
              <w:rPr>
                <w:rFonts w:cs="Arial"/>
                <w:lang w:val="fr-FR" w:eastAsia="en-US"/>
              </w:rPr>
            </w:pPr>
            <w:r w:rsidRPr="007F1538">
              <w:rPr>
                <w:rFonts w:cs="Arial"/>
                <w:lang w:val="fr-FR" w:eastAsia="en-US"/>
              </w:rPr>
              <w:t>&lt; 10</w:t>
            </w:r>
          </w:p>
        </w:tc>
        <w:tc>
          <w:tcPr>
            <w:tcW w:w="992"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3,3%</w:t>
            </w:r>
          </w:p>
        </w:tc>
        <w:tc>
          <w:tcPr>
            <w:tcW w:w="1134"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2,7%</w:t>
            </w:r>
          </w:p>
        </w:tc>
        <w:tc>
          <w:tcPr>
            <w:tcW w:w="992" w:type="dxa"/>
            <w:tcBorders>
              <w:top w:val="nil"/>
              <w:left w:val="nil"/>
              <w:bottom w:val="single" w:sz="8" w:space="0" w:color="auto"/>
              <w:right w:val="single" w:sz="8" w:space="0" w:color="auto"/>
            </w:tcBorders>
            <w:shd w:val="clear" w:color="auto" w:fill="auto"/>
          </w:tcPr>
          <w:p w:rsidR="003D4097" w:rsidRPr="007F1538" w:rsidRDefault="003D4097" w:rsidP="00683FDF">
            <w:pPr>
              <w:rPr>
                <w:rFonts w:cs="Arial"/>
                <w:lang w:val="fr-FR" w:eastAsia="en-US"/>
              </w:rPr>
            </w:pPr>
            <w:r w:rsidRPr="007F1538">
              <w:rPr>
                <w:rFonts w:cs="Arial"/>
                <w:lang w:val="fr-FR" w:eastAsia="en-US"/>
              </w:rPr>
              <w:t>3,7%</w:t>
            </w:r>
          </w:p>
        </w:tc>
        <w:tc>
          <w:tcPr>
            <w:tcW w:w="992"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4,2%</w:t>
            </w:r>
          </w:p>
        </w:tc>
        <w:tc>
          <w:tcPr>
            <w:tcW w:w="993"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4,4%</w:t>
            </w:r>
          </w:p>
        </w:tc>
        <w:tc>
          <w:tcPr>
            <w:tcW w:w="992" w:type="dxa"/>
            <w:tcBorders>
              <w:top w:val="single" w:sz="8" w:space="0" w:color="auto"/>
              <w:left w:val="nil"/>
              <w:bottom w:val="single" w:sz="8" w:space="0" w:color="auto"/>
              <w:right w:val="single" w:sz="4" w:space="0" w:color="auto"/>
            </w:tcBorders>
          </w:tcPr>
          <w:p w:rsidR="003D4097" w:rsidRPr="007F1538" w:rsidRDefault="00AF4AFC" w:rsidP="009237BF">
            <w:pPr>
              <w:rPr>
                <w:rFonts w:cs="Arial"/>
                <w:lang w:val="fr-FR" w:eastAsia="en-US"/>
              </w:rPr>
            </w:pPr>
            <w:r w:rsidRPr="007F1538">
              <w:rPr>
                <w:rFonts w:cs="Arial"/>
                <w:lang w:val="fr-FR" w:eastAsia="en-US"/>
              </w:rPr>
              <w:t>14,</w:t>
            </w:r>
            <w:r w:rsidR="009237BF" w:rsidRPr="007F1538">
              <w:rPr>
                <w:rFonts w:cs="Arial"/>
                <w:lang w:val="fr-FR" w:eastAsia="en-US"/>
              </w:rPr>
              <w:t>0</w:t>
            </w:r>
            <w:r w:rsidRPr="007F1538">
              <w:rPr>
                <w:rFonts w:cs="Arial"/>
                <w:lang w:val="fr-FR" w:eastAsia="en-US"/>
              </w:rPr>
              <w:t>%</w:t>
            </w: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3D4097" w:rsidRPr="007F1538" w:rsidRDefault="009237BF" w:rsidP="00683FDF">
            <w:pPr>
              <w:rPr>
                <w:rFonts w:cs="Arial"/>
                <w:lang w:val="fr-FR" w:eastAsia="en-US"/>
              </w:rPr>
            </w:pPr>
            <w:r w:rsidRPr="007F1538">
              <w:rPr>
                <w:rFonts w:cs="Arial"/>
                <w:lang w:val="fr-FR" w:eastAsia="en-US"/>
              </w:rPr>
              <w:t>615</w:t>
            </w:r>
          </w:p>
        </w:tc>
        <w:tc>
          <w:tcPr>
            <w:tcW w:w="851"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xml:space="preserve">4.392 </w:t>
            </w:r>
          </w:p>
        </w:tc>
      </w:tr>
      <w:tr w:rsidR="003D4097" w:rsidRPr="007F1538" w:rsidTr="00873D90">
        <w:tc>
          <w:tcPr>
            <w:tcW w:w="1003" w:type="dxa"/>
            <w:tcBorders>
              <w:top w:val="nil"/>
              <w:left w:val="single" w:sz="8" w:space="0" w:color="auto"/>
              <w:bottom w:val="single" w:sz="8" w:space="0" w:color="auto"/>
              <w:right w:val="single" w:sz="8" w:space="0" w:color="auto"/>
            </w:tcBorders>
            <w:shd w:val="clear" w:color="auto" w:fill="auto"/>
            <w:noWrap/>
          </w:tcPr>
          <w:p w:rsidR="003D4097" w:rsidRPr="007F1538" w:rsidRDefault="003D4097" w:rsidP="00683FDF">
            <w:pPr>
              <w:rPr>
                <w:rFonts w:cs="Arial"/>
                <w:lang w:val="fr-FR" w:eastAsia="en-US"/>
              </w:rPr>
            </w:pPr>
            <w:r w:rsidRPr="007F1538">
              <w:rPr>
                <w:rFonts w:cs="Arial"/>
                <w:lang w:val="fr-FR" w:eastAsia="en-US"/>
              </w:rPr>
              <w:t>10 – 49</w:t>
            </w:r>
          </w:p>
        </w:tc>
        <w:tc>
          <w:tcPr>
            <w:tcW w:w="992"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32,3%</w:t>
            </w:r>
          </w:p>
        </w:tc>
        <w:tc>
          <w:tcPr>
            <w:tcW w:w="1134"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29,0%</w:t>
            </w:r>
          </w:p>
        </w:tc>
        <w:tc>
          <w:tcPr>
            <w:tcW w:w="992" w:type="dxa"/>
            <w:tcBorders>
              <w:top w:val="nil"/>
              <w:left w:val="nil"/>
              <w:bottom w:val="single" w:sz="8" w:space="0" w:color="auto"/>
              <w:right w:val="single" w:sz="8" w:space="0" w:color="auto"/>
            </w:tcBorders>
            <w:shd w:val="clear" w:color="auto" w:fill="auto"/>
          </w:tcPr>
          <w:p w:rsidR="003D4097" w:rsidRPr="007F1538" w:rsidRDefault="003D4097" w:rsidP="00683FDF">
            <w:pPr>
              <w:rPr>
                <w:rFonts w:cs="Arial"/>
                <w:lang w:val="fr-FR" w:eastAsia="en-US"/>
              </w:rPr>
            </w:pPr>
            <w:r w:rsidRPr="007F1538">
              <w:rPr>
                <w:rFonts w:cs="Arial"/>
                <w:lang w:val="fr-FR" w:eastAsia="en-US"/>
              </w:rPr>
              <w:t>27,8%</w:t>
            </w:r>
          </w:p>
        </w:tc>
        <w:tc>
          <w:tcPr>
            <w:tcW w:w="992"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29,1%</w:t>
            </w:r>
          </w:p>
        </w:tc>
        <w:tc>
          <w:tcPr>
            <w:tcW w:w="993"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34,1%</w:t>
            </w:r>
          </w:p>
        </w:tc>
        <w:tc>
          <w:tcPr>
            <w:tcW w:w="992" w:type="dxa"/>
            <w:tcBorders>
              <w:top w:val="single" w:sz="8" w:space="0" w:color="auto"/>
              <w:left w:val="nil"/>
              <w:bottom w:val="single" w:sz="8" w:space="0" w:color="auto"/>
              <w:right w:val="single" w:sz="4" w:space="0" w:color="auto"/>
            </w:tcBorders>
          </w:tcPr>
          <w:p w:rsidR="003D4097" w:rsidRPr="007F1538" w:rsidRDefault="009237BF" w:rsidP="00683FDF">
            <w:pPr>
              <w:rPr>
                <w:rFonts w:cs="Arial"/>
                <w:lang w:val="fr-FR" w:eastAsia="en-US"/>
              </w:rPr>
            </w:pPr>
            <w:r w:rsidRPr="007F1538">
              <w:rPr>
                <w:rFonts w:cs="Arial"/>
                <w:lang w:val="fr-FR" w:eastAsia="en-US"/>
              </w:rPr>
              <w:t>30,2</w:t>
            </w:r>
            <w:r w:rsidR="00AF4AFC" w:rsidRPr="007F1538">
              <w:rPr>
                <w:rFonts w:cs="Arial"/>
                <w:lang w:val="fr-FR" w:eastAsia="en-US"/>
              </w:rPr>
              <w:t>%</w:t>
            </w: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3D4097" w:rsidRPr="007F1538" w:rsidRDefault="009237BF" w:rsidP="00683FDF">
            <w:pPr>
              <w:rPr>
                <w:rFonts w:cs="Arial"/>
                <w:lang w:val="fr-FR" w:eastAsia="en-US"/>
              </w:rPr>
            </w:pPr>
            <w:r w:rsidRPr="007F1538">
              <w:rPr>
                <w:rFonts w:cs="Arial"/>
                <w:lang w:val="fr-FR" w:eastAsia="en-US"/>
              </w:rPr>
              <w:t>307</w:t>
            </w:r>
          </w:p>
        </w:tc>
        <w:tc>
          <w:tcPr>
            <w:tcW w:w="851"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xml:space="preserve">1.018 </w:t>
            </w:r>
          </w:p>
        </w:tc>
      </w:tr>
      <w:tr w:rsidR="003D4097" w:rsidRPr="007F1538" w:rsidTr="00873D90">
        <w:tc>
          <w:tcPr>
            <w:tcW w:w="1003" w:type="dxa"/>
            <w:tcBorders>
              <w:top w:val="nil"/>
              <w:left w:val="single" w:sz="8" w:space="0" w:color="auto"/>
              <w:bottom w:val="single" w:sz="8" w:space="0" w:color="auto"/>
              <w:right w:val="single" w:sz="8" w:space="0" w:color="auto"/>
            </w:tcBorders>
            <w:shd w:val="clear" w:color="auto" w:fill="auto"/>
            <w:noWrap/>
          </w:tcPr>
          <w:p w:rsidR="003D4097" w:rsidRPr="007F1538" w:rsidRDefault="003D4097" w:rsidP="00683FDF">
            <w:pPr>
              <w:rPr>
                <w:rFonts w:cs="Arial"/>
                <w:lang w:val="fr-FR" w:eastAsia="en-US"/>
              </w:rPr>
            </w:pPr>
            <w:r w:rsidRPr="007F1538">
              <w:rPr>
                <w:rFonts w:cs="Arial"/>
                <w:lang w:val="fr-FR" w:eastAsia="en-US"/>
              </w:rPr>
              <w:t>50 – 99</w:t>
            </w:r>
          </w:p>
        </w:tc>
        <w:tc>
          <w:tcPr>
            <w:tcW w:w="992"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66,5%</w:t>
            </w:r>
          </w:p>
        </w:tc>
        <w:tc>
          <w:tcPr>
            <w:tcW w:w="1134"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90,0%</w:t>
            </w:r>
          </w:p>
        </w:tc>
        <w:tc>
          <w:tcPr>
            <w:tcW w:w="992" w:type="dxa"/>
            <w:tcBorders>
              <w:top w:val="nil"/>
              <w:left w:val="nil"/>
              <w:bottom w:val="single" w:sz="8" w:space="0" w:color="auto"/>
              <w:right w:val="single" w:sz="8" w:space="0" w:color="auto"/>
            </w:tcBorders>
            <w:shd w:val="clear" w:color="auto" w:fill="auto"/>
          </w:tcPr>
          <w:p w:rsidR="003D4097" w:rsidRPr="007F1538" w:rsidRDefault="003D4097" w:rsidP="00683FDF">
            <w:pPr>
              <w:rPr>
                <w:rFonts w:cs="Arial"/>
                <w:lang w:val="fr-FR" w:eastAsia="en-US"/>
              </w:rPr>
            </w:pPr>
            <w:r w:rsidRPr="007F1538">
              <w:rPr>
                <w:rFonts w:cs="Arial"/>
                <w:lang w:val="fr-FR" w:eastAsia="en-US"/>
              </w:rPr>
              <w:t>69,1%</w:t>
            </w:r>
          </w:p>
        </w:tc>
        <w:tc>
          <w:tcPr>
            <w:tcW w:w="992" w:type="dxa"/>
            <w:tcBorders>
              <w:top w:val="nil"/>
              <w:left w:val="nil"/>
              <w:bottom w:val="single" w:sz="8" w:space="0" w:color="auto"/>
              <w:right w:val="single" w:sz="8" w:space="0" w:color="auto"/>
            </w:tcBorders>
            <w:shd w:val="clear" w:color="auto" w:fill="auto"/>
            <w:vAlign w:val="bottom"/>
          </w:tcPr>
          <w:p w:rsidR="003D4097" w:rsidRPr="007F1538" w:rsidRDefault="003D4097" w:rsidP="00683FDF">
            <w:pPr>
              <w:rPr>
                <w:rFonts w:cs="Arial"/>
                <w:lang w:val="fr-FR" w:eastAsia="en-US"/>
              </w:rPr>
            </w:pPr>
            <w:r w:rsidRPr="007F1538">
              <w:rPr>
                <w:rFonts w:cs="Arial"/>
                <w:lang w:val="fr-FR" w:eastAsia="en-US"/>
              </w:rPr>
              <w:t>85,0%</w:t>
            </w:r>
          </w:p>
        </w:tc>
        <w:tc>
          <w:tcPr>
            <w:tcW w:w="993"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92,1%</w:t>
            </w:r>
          </w:p>
        </w:tc>
        <w:tc>
          <w:tcPr>
            <w:tcW w:w="992" w:type="dxa"/>
            <w:tcBorders>
              <w:top w:val="single" w:sz="8" w:space="0" w:color="auto"/>
              <w:left w:val="nil"/>
              <w:bottom w:val="single" w:sz="8" w:space="0" w:color="auto"/>
              <w:right w:val="single" w:sz="4" w:space="0" w:color="auto"/>
            </w:tcBorders>
          </w:tcPr>
          <w:p w:rsidR="003D4097" w:rsidRPr="007F1538" w:rsidRDefault="009237BF" w:rsidP="00683FDF">
            <w:pPr>
              <w:rPr>
                <w:rFonts w:cs="Arial"/>
                <w:lang w:val="fr-FR" w:eastAsia="en-US"/>
              </w:rPr>
            </w:pPr>
            <w:r w:rsidRPr="007F1538">
              <w:rPr>
                <w:rFonts w:cs="Arial"/>
                <w:lang w:val="fr-FR" w:eastAsia="en-US"/>
              </w:rPr>
              <w:t>95,7</w:t>
            </w:r>
            <w:r w:rsidR="00AF4AFC" w:rsidRPr="007F1538">
              <w:rPr>
                <w:rFonts w:cs="Arial"/>
                <w:lang w:val="fr-FR" w:eastAsia="en-US"/>
              </w:rPr>
              <w:t>%</w:t>
            </w: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3D4097" w:rsidRPr="007F1538" w:rsidRDefault="009237BF" w:rsidP="00683FDF">
            <w:pPr>
              <w:rPr>
                <w:rFonts w:cs="Arial"/>
                <w:lang w:val="fr-FR" w:eastAsia="en-US"/>
              </w:rPr>
            </w:pPr>
            <w:r w:rsidRPr="007F1538">
              <w:rPr>
                <w:rFonts w:cs="Arial"/>
                <w:lang w:val="fr-FR" w:eastAsia="en-US"/>
              </w:rPr>
              <w:t>134</w:t>
            </w:r>
          </w:p>
        </w:tc>
        <w:tc>
          <w:tcPr>
            <w:tcW w:w="851" w:type="dxa"/>
            <w:tcBorders>
              <w:top w:val="nil"/>
              <w:left w:val="nil"/>
              <w:bottom w:val="single" w:sz="8" w:space="0" w:color="auto"/>
              <w:right w:val="single" w:sz="8" w:space="0" w:color="auto"/>
            </w:tcBorders>
            <w:shd w:val="clear" w:color="auto" w:fill="auto"/>
            <w:noWrap/>
            <w:vAlign w:val="bottom"/>
          </w:tcPr>
          <w:p w:rsidR="003D4097" w:rsidRPr="007F1538" w:rsidRDefault="003D4097" w:rsidP="00683FDF">
            <w:pPr>
              <w:rPr>
                <w:rFonts w:cs="Arial"/>
                <w:lang w:val="fr-FR" w:eastAsia="en-US"/>
              </w:rPr>
            </w:pPr>
            <w:r w:rsidRPr="007F1538">
              <w:rPr>
                <w:rFonts w:cs="Arial"/>
                <w:lang w:val="fr-FR" w:eastAsia="en-US"/>
              </w:rPr>
              <w:t xml:space="preserve">140 </w:t>
            </w:r>
          </w:p>
        </w:tc>
      </w:tr>
      <w:tr w:rsidR="009237BF" w:rsidRPr="007F1538" w:rsidTr="00873D90">
        <w:tc>
          <w:tcPr>
            <w:tcW w:w="1003" w:type="dxa"/>
            <w:tcBorders>
              <w:top w:val="nil"/>
              <w:left w:val="single" w:sz="8" w:space="0" w:color="auto"/>
              <w:bottom w:val="single" w:sz="8" w:space="0" w:color="auto"/>
              <w:right w:val="single" w:sz="8" w:space="0" w:color="auto"/>
            </w:tcBorders>
            <w:shd w:val="clear" w:color="auto" w:fill="auto"/>
            <w:noWrap/>
          </w:tcPr>
          <w:p w:rsidR="009237BF" w:rsidRPr="007F1538" w:rsidRDefault="00873D90" w:rsidP="00690B4E">
            <w:pPr>
              <w:rPr>
                <w:rFonts w:cs="Arial"/>
                <w:lang w:val="fr-FR" w:eastAsia="en-US"/>
              </w:rPr>
            </w:pPr>
            <w:r w:rsidRPr="00873D90">
              <w:rPr>
                <w:rFonts w:cs="Arial"/>
                <w:lang w:val="fr-FR" w:eastAsia="en-US"/>
              </w:rPr>
              <w:t>100 et +</w:t>
            </w:r>
          </w:p>
        </w:tc>
        <w:tc>
          <w:tcPr>
            <w:tcW w:w="992" w:type="dxa"/>
            <w:tcBorders>
              <w:top w:val="nil"/>
              <w:left w:val="nil"/>
              <w:bottom w:val="single" w:sz="8" w:space="0" w:color="auto"/>
              <w:right w:val="single" w:sz="8" w:space="0" w:color="auto"/>
            </w:tcBorders>
            <w:shd w:val="clear" w:color="auto" w:fill="auto"/>
            <w:vAlign w:val="bottom"/>
          </w:tcPr>
          <w:p w:rsidR="009237BF" w:rsidRPr="007F1538" w:rsidRDefault="009237BF" w:rsidP="00683FDF">
            <w:pPr>
              <w:rPr>
                <w:rFonts w:cs="Arial"/>
                <w:lang w:val="fr-FR" w:eastAsia="en-US"/>
              </w:rPr>
            </w:pPr>
            <w:r w:rsidRPr="007F1538">
              <w:rPr>
                <w:rFonts w:cs="Arial"/>
                <w:lang w:val="fr-FR" w:eastAsia="en-US"/>
              </w:rPr>
              <w:t>98,3%</w:t>
            </w:r>
          </w:p>
        </w:tc>
        <w:tc>
          <w:tcPr>
            <w:tcW w:w="1134" w:type="dxa"/>
            <w:tcBorders>
              <w:top w:val="nil"/>
              <w:left w:val="nil"/>
              <w:bottom w:val="single" w:sz="8" w:space="0" w:color="auto"/>
              <w:right w:val="single" w:sz="8" w:space="0" w:color="auto"/>
            </w:tcBorders>
            <w:shd w:val="clear" w:color="auto" w:fill="auto"/>
            <w:vAlign w:val="bottom"/>
          </w:tcPr>
          <w:p w:rsidR="009237BF" w:rsidRPr="007F1538" w:rsidRDefault="009237BF" w:rsidP="00683FDF">
            <w:pPr>
              <w:rPr>
                <w:rFonts w:cs="Arial"/>
                <w:lang w:val="fr-FR" w:eastAsia="en-US"/>
              </w:rPr>
            </w:pPr>
            <w:r w:rsidRPr="007F1538">
              <w:rPr>
                <w:rFonts w:cs="Arial"/>
                <w:lang w:val="fr-FR" w:eastAsia="en-US"/>
              </w:rPr>
              <w:t>99,4%</w:t>
            </w:r>
          </w:p>
        </w:tc>
        <w:tc>
          <w:tcPr>
            <w:tcW w:w="992" w:type="dxa"/>
            <w:tcBorders>
              <w:top w:val="nil"/>
              <w:left w:val="nil"/>
              <w:bottom w:val="single" w:sz="8" w:space="0" w:color="auto"/>
              <w:right w:val="single" w:sz="8" w:space="0" w:color="auto"/>
            </w:tcBorders>
            <w:shd w:val="clear" w:color="auto" w:fill="auto"/>
          </w:tcPr>
          <w:p w:rsidR="009237BF" w:rsidRPr="007F1538" w:rsidRDefault="009237BF" w:rsidP="00683FDF">
            <w:pPr>
              <w:rPr>
                <w:rFonts w:cs="Arial"/>
                <w:lang w:val="fr-FR" w:eastAsia="en-US"/>
              </w:rPr>
            </w:pPr>
            <w:r w:rsidRPr="007F1538">
              <w:rPr>
                <w:rFonts w:cs="Arial"/>
                <w:lang w:val="fr-FR" w:eastAsia="en-US"/>
              </w:rPr>
              <w:t>100%</w:t>
            </w:r>
          </w:p>
        </w:tc>
        <w:tc>
          <w:tcPr>
            <w:tcW w:w="992" w:type="dxa"/>
            <w:tcBorders>
              <w:top w:val="nil"/>
              <w:left w:val="nil"/>
              <w:bottom w:val="single" w:sz="8" w:space="0" w:color="auto"/>
              <w:right w:val="single" w:sz="8" w:space="0" w:color="auto"/>
            </w:tcBorders>
            <w:shd w:val="clear" w:color="auto" w:fill="auto"/>
            <w:vAlign w:val="bottom"/>
          </w:tcPr>
          <w:p w:rsidR="009237BF" w:rsidRPr="007F1538" w:rsidRDefault="009237BF" w:rsidP="00683FDF">
            <w:pPr>
              <w:rPr>
                <w:rFonts w:cs="Arial"/>
                <w:lang w:val="fr-FR" w:eastAsia="en-US"/>
              </w:rPr>
            </w:pPr>
            <w:r w:rsidRPr="007F1538">
              <w:rPr>
                <w:rFonts w:cs="Arial"/>
                <w:lang w:val="fr-FR" w:eastAsia="en-US"/>
              </w:rPr>
              <w:t>100%</w:t>
            </w:r>
          </w:p>
        </w:tc>
        <w:tc>
          <w:tcPr>
            <w:tcW w:w="993" w:type="dxa"/>
            <w:tcBorders>
              <w:top w:val="nil"/>
              <w:left w:val="nil"/>
              <w:bottom w:val="single" w:sz="8" w:space="0" w:color="auto"/>
              <w:right w:val="single" w:sz="8" w:space="0" w:color="auto"/>
            </w:tcBorders>
            <w:shd w:val="clear" w:color="auto" w:fill="auto"/>
            <w:noWrap/>
            <w:vAlign w:val="bottom"/>
          </w:tcPr>
          <w:p w:rsidR="009237BF" w:rsidRPr="007F1538" w:rsidRDefault="009237BF" w:rsidP="00683FDF">
            <w:pPr>
              <w:rPr>
                <w:rFonts w:cs="Arial"/>
                <w:lang w:val="fr-FR" w:eastAsia="en-US"/>
              </w:rPr>
            </w:pPr>
            <w:r w:rsidRPr="007F1538">
              <w:rPr>
                <w:rFonts w:cs="Arial"/>
                <w:lang w:val="fr-FR" w:eastAsia="en-US"/>
              </w:rPr>
              <w:t>100%</w:t>
            </w:r>
          </w:p>
        </w:tc>
        <w:tc>
          <w:tcPr>
            <w:tcW w:w="992" w:type="dxa"/>
            <w:tcBorders>
              <w:top w:val="single" w:sz="8" w:space="0" w:color="auto"/>
              <w:left w:val="nil"/>
              <w:bottom w:val="single" w:sz="8" w:space="0" w:color="auto"/>
              <w:right w:val="single" w:sz="4" w:space="0" w:color="auto"/>
            </w:tcBorders>
          </w:tcPr>
          <w:p w:rsidR="009237BF" w:rsidRPr="007F1538" w:rsidRDefault="009237BF" w:rsidP="00704FFA">
            <w:pPr>
              <w:rPr>
                <w:rFonts w:cs="Arial"/>
                <w:lang w:val="fr-FR" w:eastAsia="en-US"/>
              </w:rPr>
            </w:pPr>
            <w:r w:rsidRPr="007F1538">
              <w:rPr>
                <w:rFonts w:cs="Arial"/>
                <w:lang w:val="fr-FR" w:eastAsia="en-US"/>
              </w:rPr>
              <w:t>100%</w:t>
            </w: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9237BF" w:rsidRPr="007F1538" w:rsidRDefault="009237BF" w:rsidP="00683FDF">
            <w:pPr>
              <w:rPr>
                <w:rFonts w:cs="Arial"/>
                <w:lang w:val="fr-FR" w:eastAsia="en-US"/>
              </w:rPr>
            </w:pPr>
            <w:r w:rsidRPr="007F1538">
              <w:rPr>
                <w:rFonts w:cs="Arial"/>
                <w:lang w:val="fr-FR" w:eastAsia="en-US"/>
              </w:rPr>
              <w:t>182</w:t>
            </w:r>
          </w:p>
        </w:tc>
        <w:tc>
          <w:tcPr>
            <w:tcW w:w="851" w:type="dxa"/>
            <w:tcBorders>
              <w:top w:val="nil"/>
              <w:left w:val="nil"/>
              <w:bottom w:val="single" w:sz="8" w:space="0" w:color="auto"/>
              <w:right w:val="single" w:sz="8" w:space="0" w:color="auto"/>
            </w:tcBorders>
            <w:shd w:val="clear" w:color="auto" w:fill="auto"/>
            <w:noWrap/>
            <w:vAlign w:val="bottom"/>
          </w:tcPr>
          <w:p w:rsidR="009237BF" w:rsidRPr="007F1538" w:rsidRDefault="009237BF" w:rsidP="00683FDF">
            <w:pPr>
              <w:rPr>
                <w:rFonts w:cs="Arial"/>
                <w:lang w:val="fr-FR" w:eastAsia="en-US"/>
              </w:rPr>
            </w:pPr>
            <w:r w:rsidRPr="007F1538">
              <w:rPr>
                <w:rFonts w:cs="Arial"/>
                <w:lang w:val="fr-FR" w:eastAsia="en-US"/>
              </w:rPr>
              <w:t xml:space="preserve">182 </w:t>
            </w:r>
          </w:p>
        </w:tc>
      </w:tr>
      <w:tr w:rsidR="009237BF" w:rsidRPr="007F1538" w:rsidTr="00873D90">
        <w:tc>
          <w:tcPr>
            <w:tcW w:w="1003" w:type="dxa"/>
            <w:tcBorders>
              <w:top w:val="nil"/>
              <w:left w:val="single" w:sz="8" w:space="0" w:color="auto"/>
              <w:bottom w:val="single" w:sz="8" w:space="0" w:color="auto"/>
              <w:right w:val="single" w:sz="8" w:space="0" w:color="auto"/>
            </w:tcBorders>
            <w:shd w:val="clear" w:color="auto" w:fill="auto"/>
            <w:noWrap/>
          </w:tcPr>
          <w:p w:rsidR="009237BF" w:rsidRPr="007F1538" w:rsidRDefault="00873D90" w:rsidP="00690B4E">
            <w:pPr>
              <w:rPr>
                <w:rFonts w:cs="Arial"/>
                <w:i/>
                <w:lang w:val="fr-FR" w:eastAsia="en-US"/>
              </w:rPr>
            </w:pPr>
            <w:r w:rsidRPr="00873D90">
              <w:rPr>
                <w:rFonts w:cs="Arial"/>
                <w:i/>
                <w:lang w:val="fr-FR" w:eastAsia="en-US"/>
              </w:rPr>
              <w:t>Total</w:t>
            </w:r>
          </w:p>
        </w:tc>
        <w:tc>
          <w:tcPr>
            <w:tcW w:w="992" w:type="dxa"/>
            <w:tcBorders>
              <w:top w:val="nil"/>
              <w:left w:val="nil"/>
              <w:bottom w:val="single" w:sz="8" w:space="0" w:color="auto"/>
              <w:right w:val="single" w:sz="8" w:space="0" w:color="auto"/>
            </w:tcBorders>
            <w:shd w:val="clear" w:color="auto" w:fill="auto"/>
            <w:vAlign w:val="bottom"/>
          </w:tcPr>
          <w:p w:rsidR="009237BF" w:rsidRPr="007F1538" w:rsidRDefault="009237BF" w:rsidP="00683FDF">
            <w:pPr>
              <w:rPr>
                <w:rFonts w:cs="Arial"/>
                <w:i/>
                <w:iCs/>
                <w:lang w:val="fr-FR" w:eastAsia="en-US"/>
              </w:rPr>
            </w:pPr>
            <w:r w:rsidRPr="007F1538">
              <w:rPr>
                <w:rFonts w:cs="Arial"/>
                <w:i/>
                <w:iCs/>
                <w:lang w:val="fr-FR" w:eastAsia="en-US"/>
              </w:rPr>
              <w:t>12,3%</w:t>
            </w:r>
          </w:p>
        </w:tc>
        <w:tc>
          <w:tcPr>
            <w:tcW w:w="1134" w:type="dxa"/>
            <w:tcBorders>
              <w:top w:val="nil"/>
              <w:left w:val="nil"/>
              <w:bottom w:val="single" w:sz="8" w:space="0" w:color="auto"/>
              <w:right w:val="single" w:sz="8" w:space="0" w:color="auto"/>
            </w:tcBorders>
            <w:shd w:val="clear" w:color="auto" w:fill="auto"/>
          </w:tcPr>
          <w:p w:rsidR="009237BF" w:rsidRPr="007F1538" w:rsidRDefault="009237BF" w:rsidP="00683FDF">
            <w:pPr>
              <w:rPr>
                <w:rFonts w:cs="Arial"/>
                <w:i/>
                <w:iCs/>
                <w:lang w:val="fr-FR" w:eastAsia="en-US"/>
              </w:rPr>
            </w:pPr>
            <w:r w:rsidRPr="007F1538">
              <w:rPr>
                <w:rFonts w:cs="Arial"/>
                <w:i/>
                <w:iCs/>
                <w:lang w:val="fr-FR" w:eastAsia="en-US"/>
              </w:rPr>
              <w:t>12,3%</w:t>
            </w:r>
          </w:p>
        </w:tc>
        <w:tc>
          <w:tcPr>
            <w:tcW w:w="992" w:type="dxa"/>
            <w:tcBorders>
              <w:top w:val="nil"/>
              <w:left w:val="nil"/>
              <w:bottom w:val="single" w:sz="8" w:space="0" w:color="auto"/>
              <w:right w:val="single" w:sz="8" w:space="0" w:color="auto"/>
            </w:tcBorders>
            <w:shd w:val="clear" w:color="auto" w:fill="auto"/>
          </w:tcPr>
          <w:p w:rsidR="009237BF" w:rsidRPr="007F1538" w:rsidRDefault="009237BF" w:rsidP="00683FDF">
            <w:pPr>
              <w:rPr>
                <w:rFonts w:cs="Arial"/>
                <w:i/>
                <w:iCs/>
                <w:lang w:val="fr-FR" w:eastAsia="en-US"/>
              </w:rPr>
            </w:pPr>
            <w:r w:rsidRPr="007F1538">
              <w:rPr>
                <w:rFonts w:cs="Arial"/>
                <w:i/>
                <w:iCs/>
                <w:lang w:val="fr-FR" w:eastAsia="en-US"/>
              </w:rPr>
              <w:t>13,2%</w:t>
            </w:r>
          </w:p>
        </w:tc>
        <w:tc>
          <w:tcPr>
            <w:tcW w:w="992" w:type="dxa"/>
            <w:tcBorders>
              <w:top w:val="nil"/>
              <w:left w:val="nil"/>
              <w:bottom w:val="single" w:sz="8" w:space="0" w:color="auto"/>
              <w:right w:val="single" w:sz="8" w:space="0" w:color="auto"/>
            </w:tcBorders>
            <w:shd w:val="clear" w:color="auto" w:fill="auto"/>
            <w:vAlign w:val="bottom"/>
          </w:tcPr>
          <w:p w:rsidR="009237BF" w:rsidRPr="007F1538" w:rsidRDefault="009237BF" w:rsidP="00683FDF">
            <w:pPr>
              <w:rPr>
                <w:rFonts w:cs="Arial"/>
                <w:i/>
                <w:iCs/>
                <w:lang w:val="fr-FR" w:eastAsia="en-US"/>
              </w:rPr>
            </w:pPr>
            <w:r w:rsidRPr="007F1538">
              <w:rPr>
                <w:rFonts w:cs="Arial"/>
                <w:i/>
                <w:iCs/>
                <w:lang w:val="fr-FR" w:eastAsia="en-US"/>
              </w:rPr>
              <w:t>13,8%</w:t>
            </w:r>
          </w:p>
        </w:tc>
        <w:tc>
          <w:tcPr>
            <w:tcW w:w="993" w:type="dxa"/>
            <w:tcBorders>
              <w:top w:val="nil"/>
              <w:left w:val="nil"/>
              <w:bottom w:val="single" w:sz="8" w:space="0" w:color="auto"/>
              <w:right w:val="single" w:sz="8" w:space="0" w:color="auto"/>
            </w:tcBorders>
            <w:shd w:val="clear" w:color="auto" w:fill="auto"/>
            <w:noWrap/>
            <w:vAlign w:val="bottom"/>
          </w:tcPr>
          <w:p w:rsidR="009237BF" w:rsidRPr="007F1538" w:rsidRDefault="009237BF" w:rsidP="00683FDF">
            <w:pPr>
              <w:rPr>
                <w:rFonts w:cs="Arial"/>
                <w:i/>
                <w:iCs/>
                <w:lang w:val="fr-FR" w:eastAsia="en-US"/>
              </w:rPr>
            </w:pPr>
            <w:r w:rsidRPr="007F1538">
              <w:rPr>
                <w:rFonts w:cs="Arial"/>
                <w:i/>
                <w:iCs/>
                <w:lang w:val="fr-FR" w:eastAsia="en-US"/>
              </w:rPr>
              <w:t>14,8%</w:t>
            </w:r>
          </w:p>
        </w:tc>
        <w:tc>
          <w:tcPr>
            <w:tcW w:w="992" w:type="dxa"/>
            <w:tcBorders>
              <w:top w:val="single" w:sz="8" w:space="0" w:color="auto"/>
              <w:left w:val="nil"/>
              <w:bottom w:val="single" w:sz="8" w:space="0" w:color="auto"/>
              <w:right w:val="single" w:sz="4" w:space="0" w:color="auto"/>
            </w:tcBorders>
          </w:tcPr>
          <w:p w:rsidR="009237BF" w:rsidRPr="007F1538" w:rsidRDefault="009237BF" w:rsidP="009237BF">
            <w:pPr>
              <w:rPr>
                <w:rFonts w:cs="Arial"/>
                <w:i/>
                <w:iCs/>
                <w:lang w:val="fr-FR" w:eastAsia="en-US"/>
              </w:rPr>
            </w:pPr>
            <w:r w:rsidRPr="007F1538">
              <w:rPr>
                <w:rFonts w:cs="Arial"/>
                <w:i/>
                <w:iCs/>
                <w:lang w:val="fr-FR" w:eastAsia="en-US"/>
              </w:rPr>
              <w:t>21,6%</w:t>
            </w: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9237BF" w:rsidRPr="007F1538" w:rsidRDefault="009237BF" w:rsidP="009237BF">
            <w:pPr>
              <w:rPr>
                <w:rFonts w:cs="Arial"/>
                <w:i/>
                <w:iCs/>
                <w:lang w:val="fr-FR" w:eastAsia="en-US"/>
              </w:rPr>
            </w:pPr>
            <w:r w:rsidRPr="007F1538">
              <w:rPr>
                <w:rFonts w:cs="Arial"/>
                <w:i/>
                <w:iCs/>
                <w:lang w:val="fr-FR" w:eastAsia="en-US"/>
              </w:rPr>
              <w:t>1.238</w:t>
            </w:r>
          </w:p>
        </w:tc>
        <w:tc>
          <w:tcPr>
            <w:tcW w:w="851" w:type="dxa"/>
            <w:tcBorders>
              <w:top w:val="nil"/>
              <w:left w:val="nil"/>
              <w:bottom w:val="single" w:sz="8" w:space="0" w:color="auto"/>
              <w:right w:val="single" w:sz="8" w:space="0" w:color="auto"/>
            </w:tcBorders>
            <w:shd w:val="clear" w:color="auto" w:fill="auto"/>
            <w:noWrap/>
            <w:vAlign w:val="bottom"/>
          </w:tcPr>
          <w:p w:rsidR="009237BF" w:rsidRPr="007F1538" w:rsidRDefault="009237BF" w:rsidP="00683FDF">
            <w:pPr>
              <w:rPr>
                <w:rFonts w:cs="Arial"/>
                <w:i/>
                <w:iCs/>
                <w:lang w:val="fr-FR" w:eastAsia="en-US"/>
              </w:rPr>
            </w:pPr>
            <w:r w:rsidRPr="007F1538">
              <w:rPr>
                <w:rFonts w:cs="Arial"/>
                <w:i/>
                <w:iCs/>
                <w:lang w:val="fr-FR" w:eastAsia="en-US"/>
              </w:rPr>
              <w:t xml:space="preserve">5.732 </w:t>
            </w:r>
          </w:p>
        </w:tc>
      </w:tr>
    </w:tbl>
    <w:p w:rsidR="005B6D31" w:rsidRPr="007F1538" w:rsidRDefault="005B6D31" w:rsidP="00683FDF">
      <w:pPr>
        <w:rPr>
          <w:rFonts w:cs="Arial"/>
          <w:lang w:val="fr-FR"/>
        </w:rPr>
      </w:pPr>
    </w:p>
    <w:p w:rsidR="00354F6A" w:rsidRPr="007F1538" w:rsidRDefault="00873D90" w:rsidP="00683FDF">
      <w:pPr>
        <w:rPr>
          <w:rFonts w:cs="Arial"/>
          <w:lang w:val="fr-FR"/>
        </w:rPr>
      </w:pPr>
      <w:r w:rsidRPr="00873D90">
        <w:rPr>
          <w:rFonts w:cs="Arial"/>
          <w:lang w:val="fr-FR"/>
        </w:rPr>
        <w:t>La couverture fut la plus élevée en Flandre, qui compte en moyenne moins de PME, suivie par la Wallonie et Bruxelles.</w:t>
      </w:r>
      <w:r w:rsidR="003B6139" w:rsidRPr="007F1538">
        <w:rPr>
          <w:rFonts w:cs="Arial"/>
          <w:lang w:val="fr-FR"/>
        </w:rPr>
        <w:t xml:space="preserve"> </w:t>
      </w:r>
    </w:p>
    <w:p w:rsidR="0067055F" w:rsidRPr="007F1538" w:rsidRDefault="0067055F" w:rsidP="00683FDF">
      <w:pPr>
        <w:rPr>
          <w:rFonts w:cs="Arial"/>
          <w:lang w:val="fr-FR"/>
        </w:rPr>
      </w:pPr>
    </w:p>
    <w:p w:rsidR="00C64FC9" w:rsidRPr="007F1538" w:rsidRDefault="00C64FC9" w:rsidP="00683FDF">
      <w:pPr>
        <w:rPr>
          <w:rFonts w:cs="Arial"/>
          <w:lang w:val="fr-FR"/>
        </w:rPr>
      </w:pPr>
    </w:p>
    <w:p w:rsidR="00C64FC9" w:rsidRPr="007F1538" w:rsidRDefault="00C64FC9" w:rsidP="00683FDF">
      <w:pPr>
        <w:rPr>
          <w:rFonts w:cs="Arial"/>
          <w:lang w:val="fr-FR"/>
        </w:rPr>
      </w:pPr>
    </w:p>
    <w:p w:rsidR="000F0C98" w:rsidRPr="007F1538" w:rsidRDefault="000F0C98" w:rsidP="000F0C98">
      <w:pPr>
        <w:pBdr>
          <w:top w:val="single" w:sz="4" w:space="1" w:color="auto"/>
          <w:left w:val="single" w:sz="4" w:space="1" w:color="auto"/>
          <w:bottom w:val="single" w:sz="4" w:space="1" w:color="auto"/>
          <w:right w:val="single" w:sz="4" w:space="1" w:color="auto"/>
        </w:pBdr>
        <w:jc w:val="center"/>
        <w:rPr>
          <w:rFonts w:cs="Arial"/>
          <w:i/>
          <w:color w:val="000000"/>
          <w:highlight w:val="yellow"/>
          <w:lang w:val="fr-FR"/>
        </w:rPr>
      </w:pPr>
    </w:p>
    <w:p w:rsidR="000F0C98" w:rsidRPr="007F1538" w:rsidRDefault="000F0C98" w:rsidP="000F0C98">
      <w:pPr>
        <w:pBdr>
          <w:top w:val="single" w:sz="4" w:space="1" w:color="auto"/>
          <w:left w:val="single" w:sz="4" w:space="1" w:color="auto"/>
          <w:bottom w:val="single" w:sz="4" w:space="1" w:color="auto"/>
          <w:right w:val="single" w:sz="4" w:space="1" w:color="auto"/>
        </w:pBdr>
        <w:jc w:val="center"/>
        <w:rPr>
          <w:rFonts w:cs="Arial"/>
          <w:b/>
          <w:i/>
          <w:color w:val="000000"/>
          <w:lang w:val="fr-FR"/>
        </w:rPr>
      </w:pPr>
      <w:r w:rsidRPr="007F1538">
        <w:rPr>
          <w:rFonts w:cs="Arial"/>
          <w:i/>
          <w:color w:val="000000"/>
          <w:lang w:val="fr-FR"/>
        </w:rPr>
        <w:t xml:space="preserve"> </w:t>
      </w:r>
      <w:r w:rsidR="00873D90" w:rsidRPr="00873D90">
        <w:rPr>
          <w:rFonts w:cs="Arial"/>
          <w:b/>
          <w:i/>
          <w:color w:val="000000"/>
          <w:shd w:val="pct70" w:color="FFFFFF" w:fill="auto"/>
          <w:lang w:val="fr-FR"/>
        </w:rPr>
        <w:t>*** 20 ans de l’IFP ***</w:t>
      </w:r>
    </w:p>
    <w:p w:rsidR="000F0C98" w:rsidRPr="007F1538" w:rsidRDefault="000F0C98" w:rsidP="000F0C98">
      <w:pPr>
        <w:pBdr>
          <w:top w:val="single" w:sz="4" w:space="1" w:color="auto"/>
          <w:left w:val="single" w:sz="4" w:space="1" w:color="auto"/>
          <w:bottom w:val="single" w:sz="4" w:space="1" w:color="auto"/>
          <w:right w:val="single" w:sz="4" w:space="1" w:color="auto"/>
        </w:pBdr>
        <w:jc w:val="center"/>
        <w:rPr>
          <w:rFonts w:cs="Arial"/>
          <w:b/>
          <w:i/>
          <w:color w:val="000000"/>
          <w:lang w:val="fr-FR"/>
        </w:rPr>
      </w:pPr>
    </w:p>
    <w:p w:rsidR="00A946FF" w:rsidRPr="007F1538" w:rsidRDefault="00873D90" w:rsidP="00A946FF">
      <w:pPr>
        <w:pBdr>
          <w:top w:val="single" w:sz="4" w:space="1" w:color="auto"/>
          <w:left w:val="single" w:sz="4" w:space="1" w:color="auto"/>
          <w:bottom w:val="single" w:sz="4" w:space="1" w:color="auto"/>
          <w:right w:val="single" w:sz="4" w:space="1" w:color="auto"/>
        </w:pBdr>
        <w:jc w:val="center"/>
        <w:rPr>
          <w:rFonts w:cs="Arial"/>
          <w:b/>
          <w:i/>
          <w:color w:val="000000"/>
          <w:lang w:val="fr-FR"/>
        </w:rPr>
      </w:pPr>
      <w:r w:rsidRPr="00873D90">
        <w:rPr>
          <w:rFonts w:cs="Arial"/>
          <w:b/>
          <w:i/>
          <w:color w:val="000000"/>
          <w:shd w:val="pct70" w:color="FFFFFF" w:fill="auto"/>
          <w:lang w:val="fr-FR"/>
        </w:rPr>
        <w:t>Centrage sur les PME</w:t>
      </w:r>
    </w:p>
    <w:p w:rsidR="00A946FF" w:rsidRPr="007F1538" w:rsidRDefault="00A946FF" w:rsidP="00873D90">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A946FF" w:rsidRPr="007F1538" w:rsidRDefault="00A946FF" w:rsidP="00873D90">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b/>
          <w:i/>
          <w:color w:val="000000"/>
          <w:lang w:val="fr-FR"/>
        </w:rPr>
        <w:t>***</w:t>
      </w:r>
    </w:p>
    <w:p w:rsidR="00A946FF" w:rsidRPr="007F1538" w:rsidRDefault="00A946FF" w:rsidP="00873D90">
      <w:pPr>
        <w:pBdr>
          <w:top w:val="single" w:sz="4" w:space="2" w:color="C0C0C0"/>
          <w:left w:val="single" w:sz="4" w:space="2" w:color="C0C0C0"/>
          <w:bottom w:val="single" w:sz="4" w:space="2" w:color="C0C0C0"/>
          <w:right w:val="single" w:sz="4" w:space="2" w:color="C0C0C0"/>
        </w:pBdr>
        <w:shd w:val="pct70" w:color="FFFFFF" w:fill="C0C0C0"/>
        <w:jc w:val="center"/>
        <w:rPr>
          <w:lang w:val="fr-FR"/>
        </w:rPr>
      </w:pPr>
    </w:p>
    <w:p w:rsidR="00CF4B02" w:rsidRPr="007F1538" w:rsidRDefault="00873D90"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873D90">
        <w:rPr>
          <w:rFonts w:cs="Arial"/>
          <w:color w:val="000000"/>
          <w:shd w:val="pct70" w:color="FFFFFF" w:fill="auto"/>
          <w:lang w:val="fr-FR"/>
        </w:rPr>
        <w:t>Près de la moitié des emplois rémunérés dans l’industrie alimentaire se trouvent dans une entreprise comptant moins de 100 travailleurs.</w:t>
      </w:r>
      <w:r w:rsidR="008E4AC1" w:rsidRPr="007F1538">
        <w:rPr>
          <w:rFonts w:cs="Arial"/>
          <w:color w:val="000000"/>
          <w:lang w:val="fr-FR"/>
        </w:rPr>
        <w:t xml:space="preserve"> </w:t>
      </w:r>
      <w:r w:rsidRPr="00873D90">
        <w:rPr>
          <w:rFonts w:cs="Arial"/>
          <w:color w:val="000000"/>
          <w:shd w:val="pct70" w:color="FFFFFF" w:fill="auto"/>
          <w:lang w:val="fr-FR"/>
        </w:rPr>
        <w:t>Pour l’IFP, couvrir suffisamment ces PME a toujours été un défi.</w:t>
      </w:r>
      <w:r w:rsidR="008B6867" w:rsidRPr="007F1538">
        <w:rPr>
          <w:rFonts w:cs="Arial"/>
          <w:color w:val="000000"/>
          <w:lang w:val="fr-FR"/>
        </w:rPr>
        <w:t xml:space="preserve"> </w:t>
      </w:r>
      <w:r w:rsidRPr="00873D90">
        <w:rPr>
          <w:rFonts w:cs="Arial"/>
          <w:color w:val="000000"/>
          <w:shd w:val="pct70" w:color="FFFFFF" w:fill="auto"/>
          <w:lang w:val="fr-FR"/>
        </w:rPr>
        <w:t>Ce n’est pas simple.</w:t>
      </w:r>
      <w:r w:rsidR="00A946FF" w:rsidRPr="007F1538">
        <w:rPr>
          <w:rFonts w:cs="Arial"/>
          <w:color w:val="000000"/>
          <w:lang w:val="fr-FR"/>
        </w:rPr>
        <w:t xml:space="preserve"> </w:t>
      </w:r>
      <w:r w:rsidRPr="00873D90">
        <w:rPr>
          <w:rFonts w:cs="Arial"/>
          <w:color w:val="000000"/>
          <w:shd w:val="pct70" w:color="FFFFFF" w:fill="auto"/>
          <w:lang w:val="fr-FR"/>
        </w:rPr>
        <w:t>Généralement, les PME disposent d’une politique du personnel moins structurée, elles ne comprennent pas toujours l’importance de la formation, les marges budgétaires pour les investissements sont étroites, elles ne voient que les arbres qui cachent la forêt,…</w:t>
      </w:r>
      <w:r w:rsidR="00A946FF" w:rsidRPr="007F1538">
        <w:rPr>
          <w:rFonts w:cs="Arial"/>
          <w:color w:val="000000"/>
          <w:lang w:val="fr-FR"/>
        </w:rPr>
        <w:t xml:space="preserve"> </w:t>
      </w:r>
    </w:p>
    <w:p w:rsidR="00CF4B02" w:rsidRPr="007F1538" w:rsidRDefault="00CF4B02"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CF4B02" w:rsidRPr="007F1538" w:rsidRDefault="00873D90"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873D90">
        <w:rPr>
          <w:rFonts w:cs="Arial"/>
          <w:color w:val="000000"/>
          <w:shd w:val="pct70" w:color="FFFFFF" w:fill="auto"/>
          <w:lang w:val="fr-FR"/>
        </w:rPr>
        <w:t>Afin de couvrir un nombre plus important d’entreprises, l’IFP a évolué vers une approche multiple :</w:t>
      </w:r>
    </w:p>
    <w:p w:rsidR="00CF4B02" w:rsidRPr="007F1538" w:rsidRDefault="00CF4B02"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8B6867" w:rsidRPr="007F1538" w:rsidRDefault="00CF4B02"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lastRenderedPageBreak/>
        <w:t xml:space="preserve">1. </w:t>
      </w:r>
      <w:r w:rsidR="00873D90" w:rsidRPr="00873D90">
        <w:rPr>
          <w:rFonts w:cs="Arial"/>
          <w:color w:val="000000"/>
          <w:shd w:val="pct70" w:color="FFFFFF" w:fill="auto"/>
          <w:lang w:val="fr-FR"/>
        </w:rPr>
        <w:t>Sensibilisation et information :</w:t>
      </w:r>
      <w:r w:rsidR="006021F1" w:rsidRPr="007F1538">
        <w:rPr>
          <w:rFonts w:cs="Arial"/>
          <w:color w:val="000000"/>
          <w:lang w:val="fr-FR"/>
        </w:rPr>
        <w:t xml:space="preserve"> </w:t>
      </w:r>
      <w:r w:rsidR="00873D90" w:rsidRPr="00873D90">
        <w:rPr>
          <w:rFonts w:cs="Arial"/>
          <w:color w:val="000000"/>
          <w:shd w:val="pct70" w:color="FFFFFF" w:fill="auto"/>
          <w:lang w:val="fr-FR"/>
        </w:rPr>
        <w:t>Les visites d’entreprises, les initiatives de réseautage, le site internet de l’IFP, la lettre d’information, etc. permettent d’aborder à nouveau le thème de la formation et les entreprises obtiennent des informations sur les possibilités de formation et de subvention sur mesure.</w:t>
      </w:r>
    </w:p>
    <w:p w:rsidR="008B6867" w:rsidRPr="007F1538" w:rsidRDefault="008B6867"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8B6867" w:rsidRPr="007F1538" w:rsidRDefault="008B6867"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t xml:space="preserve">2. </w:t>
      </w:r>
      <w:r w:rsidR="00873D90" w:rsidRPr="00873D90">
        <w:rPr>
          <w:rFonts w:cs="Arial"/>
          <w:color w:val="000000"/>
          <w:shd w:val="pct70" w:color="FFFFFF" w:fill="auto"/>
          <w:lang w:val="fr-FR"/>
        </w:rPr>
        <w:t>Formation :</w:t>
      </w:r>
      <w:r w:rsidR="006021F1" w:rsidRPr="007F1538">
        <w:rPr>
          <w:rFonts w:cs="Arial"/>
          <w:color w:val="000000"/>
          <w:lang w:val="fr-FR"/>
        </w:rPr>
        <w:t xml:space="preserve"> </w:t>
      </w:r>
      <w:r w:rsidR="00873D90" w:rsidRPr="00873D90">
        <w:rPr>
          <w:rFonts w:cs="Arial"/>
          <w:color w:val="000000"/>
          <w:shd w:val="pct70" w:color="FFFFFF" w:fill="auto"/>
          <w:lang w:val="fr-FR"/>
        </w:rPr>
        <w:t>Après 20 ans d’existence, l’IFP peut compter sur un large réseau de partenaires de formation qui connaissent l’industrie alimentaire de manière approfondie.</w:t>
      </w:r>
      <w:r w:rsidR="00A946FF" w:rsidRPr="007F1538">
        <w:rPr>
          <w:rFonts w:cs="Arial"/>
          <w:color w:val="000000"/>
          <w:lang w:val="fr-FR"/>
        </w:rPr>
        <w:t xml:space="preserve"> </w:t>
      </w:r>
      <w:r w:rsidR="00873D90" w:rsidRPr="00873D90">
        <w:rPr>
          <w:rFonts w:cs="Arial"/>
          <w:color w:val="000000"/>
          <w:shd w:val="pct70" w:color="FFFFFF" w:fill="auto"/>
          <w:lang w:val="fr-FR"/>
        </w:rPr>
        <w:t>L’IFP peut ainsi réagir de manière flexible aux besoins des entreprises, également des PME.</w:t>
      </w:r>
    </w:p>
    <w:p w:rsidR="00B96932" w:rsidRPr="007F1538" w:rsidRDefault="00B96932"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917F72" w:rsidRPr="007F1538" w:rsidRDefault="00B96932"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7F1538">
        <w:rPr>
          <w:rFonts w:cs="Arial"/>
          <w:color w:val="000000"/>
          <w:lang w:val="fr-FR"/>
        </w:rPr>
        <w:t xml:space="preserve">3. </w:t>
      </w:r>
      <w:r w:rsidR="00873D90" w:rsidRPr="00873D90">
        <w:rPr>
          <w:rFonts w:cs="Arial"/>
          <w:color w:val="000000"/>
          <w:shd w:val="pct70" w:color="FFFFFF" w:fill="auto"/>
          <w:lang w:val="fr-FR"/>
        </w:rPr>
        <w:t>Conseil :</w:t>
      </w:r>
      <w:r w:rsidRPr="007F1538">
        <w:rPr>
          <w:rFonts w:cs="Arial"/>
          <w:color w:val="000000"/>
          <w:lang w:val="fr-FR"/>
        </w:rPr>
        <w:t xml:space="preserve"> </w:t>
      </w:r>
      <w:r w:rsidR="00873D90" w:rsidRPr="00873D90">
        <w:rPr>
          <w:rFonts w:cs="Arial"/>
          <w:color w:val="000000"/>
          <w:shd w:val="pct70" w:color="FFFFFF" w:fill="auto"/>
          <w:lang w:val="fr-FR"/>
        </w:rPr>
        <w:t xml:space="preserve">l’IFP subventionne non seulement des formations, mais également des avis externes qui permettent de mettre en place une politique du personnel dans laquelle le développement occupe une place centrale (plan de formation, </w:t>
      </w:r>
      <w:r w:rsidR="00E97077">
        <w:rPr>
          <w:rFonts w:cs="Arial"/>
          <w:color w:val="000000"/>
          <w:shd w:val="pct70" w:color="FFFFFF" w:fill="auto"/>
          <w:lang w:val="fr-FR"/>
        </w:rPr>
        <w:t>transfert des compétences en interne, sur le poste de travail</w:t>
      </w:r>
      <w:r w:rsidR="00873D90" w:rsidRPr="00873D90">
        <w:rPr>
          <w:rFonts w:cs="Arial"/>
          <w:color w:val="000000"/>
          <w:shd w:val="pct70" w:color="FFFFFF" w:fill="auto"/>
          <w:lang w:val="fr-FR"/>
        </w:rPr>
        <w:t>, politique d’accueil,…).</w:t>
      </w:r>
      <w:r w:rsidR="00917F72" w:rsidRPr="007F1538">
        <w:rPr>
          <w:rFonts w:cs="Arial"/>
          <w:color w:val="000000"/>
          <w:lang w:val="fr-FR"/>
        </w:rPr>
        <w:t xml:space="preserve"> </w:t>
      </w:r>
      <w:r w:rsidR="00313A29" w:rsidRPr="007F1538">
        <w:rPr>
          <w:rFonts w:cs="Arial"/>
          <w:color w:val="000000"/>
          <w:lang w:val="fr-FR"/>
        </w:rPr>
        <w:t xml:space="preserve">. </w:t>
      </w:r>
      <w:r w:rsidR="00873D90" w:rsidRPr="00873D90">
        <w:rPr>
          <w:rFonts w:cs="Arial"/>
          <w:color w:val="000000"/>
          <w:shd w:val="pct70" w:color="FFFFFF" w:fill="auto"/>
          <w:lang w:val="fr-FR"/>
        </w:rPr>
        <w:t>Ce service offre une valeur ajoutée non négligeable principalement pour les PME qui ne disposent pas toujours d’un responsable HR spécifique.</w:t>
      </w:r>
    </w:p>
    <w:p w:rsidR="00917F72" w:rsidRPr="007F1538" w:rsidRDefault="00917F72"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6021F1" w:rsidRPr="007F1538" w:rsidRDefault="006021F1" w:rsidP="00873D90">
      <w:pPr>
        <w:rPr>
          <w:rFonts w:cs="Arial"/>
          <w:color w:val="000000"/>
          <w:lang w:val="fr-FR"/>
        </w:rPr>
      </w:pPr>
      <w:r w:rsidRPr="007F1538">
        <w:rPr>
          <w:rFonts w:cs="Arial"/>
          <w:color w:val="000000"/>
          <w:lang w:val="fr-FR"/>
        </w:rPr>
        <w:t>4</w:t>
      </w:r>
      <w:r w:rsidR="00917F72" w:rsidRPr="007F1538">
        <w:rPr>
          <w:rFonts w:cs="Arial"/>
          <w:color w:val="000000"/>
          <w:lang w:val="fr-FR"/>
        </w:rPr>
        <w:t xml:space="preserve">. </w:t>
      </w:r>
      <w:r w:rsidR="00873D90" w:rsidRPr="00873D90">
        <w:rPr>
          <w:rFonts w:cs="Arial"/>
          <w:color w:val="000000"/>
          <w:shd w:val="pct70" w:color="FFFFFF" w:fill="auto"/>
          <w:lang w:val="fr-FR"/>
        </w:rPr>
        <w:t>Instruments de soutien :</w:t>
      </w:r>
      <w:r w:rsidRPr="007F1538">
        <w:rPr>
          <w:rFonts w:cs="Arial"/>
          <w:color w:val="000000"/>
          <w:lang w:val="fr-FR"/>
        </w:rPr>
        <w:t xml:space="preserve"> </w:t>
      </w:r>
      <w:r w:rsidR="00873D90" w:rsidRPr="00873D90">
        <w:rPr>
          <w:rFonts w:cs="Arial"/>
          <w:color w:val="000000"/>
          <w:lang w:val="fr-FR"/>
        </w:rPr>
        <w:t xml:space="preserve">L'IFP investit dans le développement </w:t>
      </w:r>
      <w:r w:rsidR="002A4A65">
        <w:rPr>
          <w:rFonts w:cs="Arial"/>
          <w:color w:val="000000"/>
          <w:lang w:val="fr-FR"/>
        </w:rPr>
        <w:t>d’outils pratiques et</w:t>
      </w:r>
      <w:r w:rsidR="00873D90" w:rsidRPr="00873D90">
        <w:rPr>
          <w:rFonts w:cs="Arial"/>
          <w:color w:val="000000"/>
          <w:lang w:val="fr-FR"/>
        </w:rPr>
        <w:t xml:space="preserve"> concrets qui soutiennent la politique de </w:t>
      </w:r>
      <w:r w:rsidR="002A4A65">
        <w:rPr>
          <w:rFonts w:cs="Arial"/>
          <w:color w:val="000000"/>
          <w:lang w:val="fr-FR"/>
        </w:rPr>
        <w:t xml:space="preserve">gestion du </w:t>
      </w:r>
      <w:r w:rsidR="00873D90" w:rsidRPr="00873D90">
        <w:rPr>
          <w:rFonts w:cs="Arial"/>
          <w:color w:val="000000"/>
          <w:lang w:val="fr-FR"/>
        </w:rPr>
        <w:t>personnel.</w:t>
      </w:r>
      <w:r w:rsidR="00B67161">
        <w:rPr>
          <w:rFonts w:cs="Arial"/>
          <w:color w:val="000000"/>
          <w:lang w:val="fr-FR"/>
        </w:rPr>
        <w:t xml:space="preserve"> </w:t>
      </w:r>
      <w:r w:rsidR="00873D90" w:rsidRPr="00873D90">
        <w:rPr>
          <w:rFonts w:cs="Arial"/>
          <w:color w:val="000000"/>
          <w:lang w:val="fr-FR"/>
        </w:rPr>
        <w:t>Ces instruments sont mis gratuitement à la disposition des entreprises.</w:t>
      </w:r>
      <w:r w:rsidRPr="007F1538">
        <w:rPr>
          <w:rFonts w:cs="Arial"/>
          <w:color w:val="000000"/>
          <w:lang w:val="fr-FR"/>
        </w:rPr>
        <w:t xml:space="preserve"> </w:t>
      </w:r>
    </w:p>
    <w:p w:rsidR="006021F1" w:rsidRPr="007F1538" w:rsidRDefault="006021F1" w:rsidP="00873D90">
      <w:pPr>
        <w:pBdr>
          <w:top w:val="single" w:sz="4" w:space="2" w:color="C0C0C0"/>
          <w:left w:val="single" w:sz="4" w:space="2" w:color="C0C0C0"/>
          <w:bottom w:val="single" w:sz="4" w:space="2" w:color="C0C0C0"/>
          <w:right w:val="single" w:sz="4" w:space="2" w:color="C0C0C0"/>
        </w:pBdr>
        <w:shd w:val="pct70" w:color="FFFFFF" w:fill="C0C0C0"/>
        <w:rPr>
          <w:rFonts w:cs="Arial"/>
          <w:lang w:val="fr-FR"/>
        </w:rPr>
      </w:pPr>
    </w:p>
    <w:p w:rsidR="00192B1C" w:rsidRPr="007F1538" w:rsidRDefault="00873D90" w:rsidP="00873D90">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873D90">
        <w:rPr>
          <w:rFonts w:cs="Arial"/>
          <w:color w:val="000000"/>
          <w:lang w:val="fr-FR"/>
        </w:rPr>
        <w:t>Les entreprises comptant moins de 10 travailleurs exigent une attention toute particulière.</w:t>
      </w:r>
      <w:r w:rsidR="00A91F83" w:rsidRPr="007F1538">
        <w:rPr>
          <w:rFonts w:cs="Arial"/>
          <w:color w:val="000000"/>
          <w:lang w:val="fr-FR"/>
        </w:rPr>
        <w:t xml:space="preserve"> </w:t>
      </w:r>
      <w:r w:rsidRPr="00873D90">
        <w:rPr>
          <w:rFonts w:cs="Arial"/>
          <w:color w:val="000000"/>
          <w:lang w:val="fr-FR"/>
        </w:rPr>
        <w:t>Le plan stratégique 2007-2010 formule un objectif spécifique pour ce groupe, à savoir une portée de 4% de ces entreprises et 1,5% de leurs travailleurs.</w:t>
      </w:r>
      <w:r w:rsidR="009F008E" w:rsidRPr="007F1538">
        <w:rPr>
          <w:lang w:val="fr-FR"/>
        </w:rPr>
        <w:t xml:space="preserve"> </w:t>
      </w:r>
      <w:r w:rsidRPr="00873D90">
        <w:rPr>
          <w:rFonts w:cs="Arial"/>
          <w:color w:val="000000"/>
          <w:lang w:val="fr-FR"/>
        </w:rPr>
        <w:t>La majorité de ces entreprises sont des boulangeries artisanales.</w:t>
      </w:r>
      <w:r w:rsidR="00A91F83" w:rsidRPr="007F1538">
        <w:rPr>
          <w:rFonts w:cs="Arial"/>
          <w:color w:val="000000"/>
          <w:lang w:val="fr-FR"/>
        </w:rPr>
        <w:t xml:space="preserve"> </w:t>
      </w:r>
      <w:r w:rsidRPr="008066E5">
        <w:rPr>
          <w:rFonts w:cs="Arial"/>
          <w:color w:val="000000"/>
          <w:shd w:val="pct70" w:color="FFFFFF" w:fill="auto"/>
          <w:lang w:val="fr-FR"/>
        </w:rPr>
        <w:t xml:space="preserve">Durant de nombreuses années, elles ont été difficilement atteintes, notamment parce que le marché des formations ne leur </w:t>
      </w:r>
      <w:r w:rsidR="008066E5" w:rsidRPr="008066E5">
        <w:rPr>
          <w:rFonts w:cs="Arial"/>
          <w:color w:val="000000"/>
          <w:shd w:val="pct70" w:color="FFFFFF" w:fill="auto"/>
          <w:lang w:val="fr-FR"/>
        </w:rPr>
        <w:t>proposait</w:t>
      </w:r>
      <w:r w:rsidRPr="008066E5">
        <w:rPr>
          <w:rFonts w:cs="Arial"/>
          <w:color w:val="000000"/>
          <w:shd w:val="pct70" w:color="FFFFFF" w:fill="auto"/>
          <w:lang w:val="fr-FR"/>
        </w:rPr>
        <w:t xml:space="preserve"> aucune offre de formations adaptée.</w:t>
      </w:r>
      <w:r w:rsidR="00AF2B8A" w:rsidRPr="007F1538">
        <w:rPr>
          <w:rFonts w:cs="Arial"/>
          <w:color w:val="000000"/>
          <w:lang w:val="fr-FR"/>
        </w:rPr>
        <w:t xml:space="preserve"> </w:t>
      </w:r>
      <w:r w:rsidRPr="008066E5">
        <w:rPr>
          <w:rFonts w:cs="Arial"/>
          <w:color w:val="000000"/>
          <w:shd w:val="pct70" w:color="FFFFFF" w:fill="auto"/>
          <w:lang w:val="fr-FR"/>
        </w:rPr>
        <w:t>Une stratégie spécifique a été définie pour ce groupe.</w:t>
      </w:r>
      <w:r w:rsidR="00AF2B8A" w:rsidRPr="007F1538">
        <w:rPr>
          <w:rFonts w:cs="Arial"/>
          <w:color w:val="000000"/>
          <w:lang w:val="fr-FR"/>
        </w:rPr>
        <w:t xml:space="preserve"> </w:t>
      </w:r>
      <w:r w:rsidRPr="008066E5">
        <w:rPr>
          <w:rFonts w:cs="Arial"/>
          <w:color w:val="000000"/>
          <w:shd w:val="pct70" w:color="FFFFFF" w:fill="auto"/>
          <w:lang w:val="fr-FR"/>
        </w:rPr>
        <w:t>L’IFP a même mis sur pied une formation de boulanger.</w:t>
      </w:r>
      <w:r w:rsidR="00AF2B8A" w:rsidRPr="007F1538">
        <w:rPr>
          <w:rFonts w:cs="Arial"/>
          <w:color w:val="000000"/>
          <w:lang w:val="fr-FR"/>
        </w:rPr>
        <w:t xml:space="preserve"> </w:t>
      </w:r>
      <w:r w:rsidRPr="008066E5">
        <w:rPr>
          <w:rFonts w:cs="Arial"/>
          <w:color w:val="000000"/>
          <w:shd w:val="pct70" w:color="FFFFFF" w:fill="auto"/>
          <w:lang w:val="fr-FR"/>
        </w:rPr>
        <w:t>Après un an de fonction</w:t>
      </w:r>
      <w:r w:rsidR="008066E5" w:rsidRPr="008066E5">
        <w:rPr>
          <w:rFonts w:cs="Arial"/>
          <w:color w:val="000000"/>
          <w:shd w:val="pct70" w:color="FFFFFF" w:fill="auto"/>
          <w:lang w:val="fr-FR"/>
        </w:rPr>
        <w:t>nement</w:t>
      </w:r>
      <w:r w:rsidRPr="008066E5">
        <w:rPr>
          <w:rFonts w:cs="Arial"/>
          <w:color w:val="000000"/>
          <w:shd w:val="pct70" w:color="FFFFFF" w:fill="auto"/>
          <w:lang w:val="fr-FR"/>
        </w:rPr>
        <w:t>, nous constatons que cet investissement porte ses fruits :</w:t>
      </w:r>
      <w:r w:rsidR="00AF2B8A" w:rsidRPr="007F1538">
        <w:rPr>
          <w:rFonts w:cs="Arial"/>
          <w:color w:val="000000"/>
          <w:lang w:val="fr-FR"/>
        </w:rPr>
        <w:t xml:space="preserve"> </w:t>
      </w:r>
      <w:r w:rsidRPr="00873D90">
        <w:rPr>
          <w:rFonts w:cs="Arial"/>
          <w:shd w:val="pct70" w:color="FFFFFF" w:fill="auto"/>
          <w:lang w:val="fr-FR"/>
        </w:rPr>
        <w:t>en 2008, l’IFP a atteint 2,15% des boulangeries contre pas moins de 16,1% en 2009.</w:t>
      </w:r>
    </w:p>
    <w:p w:rsidR="00C64FC9" w:rsidRPr="007F1538" w:rsidRDefault="00C64FC9" w:rsidP="00683FDF">
      <w:pPr>
        <w:rPr>
          <w:rFonts w:cs="Arial"/>
          <w:lang w:val="fr-FR"/>
        </w:rPr>
      </w:pPr>
    </w:p>
    <w:p w:rsidR="00C64FC9" w:rsidRPr="007F1538" w:rsidRDefault="00C64FC9" w:rsidP="00683FDF">
      <w:pPr>
        <w:rPr>
          <w:rFonts w:cs="Arial"/>
          <w:lang w:val="fr-FR"/>
        </w:rPr>
      </w:pPr>
    </w:p>
    <w:p w:rsidR="007B1716" w:rsidRPr="007F1538" w:rsidRDefault="007A50E0" w:rsidP="00683FDF">
      <w:pPr>
        <w:rPr>
          <w:rFonts w:cs="Arial"/>
          <w:lang w:val="fr-FR" w:eastAsia="en-US"/>
        </w:rPr>
      </w:pPr>
      <w:r>
        <w:rPr>
          <w:rFonts w:cs="Arial"/>
          <w:lang w:val="fr-FR" w:eastAsia="en-US"/>
        </w:rPr>
        <w:t>Tableau 8</w:t>
      </w:r>
      <w:r w:rsidR="00873D90" w:rsidRPr="00873D90">
        <w:rPr>
          <w:rFonts w:cs="Arial"/>
          <w:lang w:val="fr-FR" w:eastAsia="en-US"/>
        </w:rPr>
        <w:t> : couverture auprès des employeurs en % du nombre d’entreprises par région</w:t>
      </w:r>
    </w:p>
    <w:tbl>
      <w:tblPr>
        <w:tblW w:w="4120" w:type="dxa"/>
        <w:tblInd w:w="98" w:type="dxa"/>
        <w:tblLook w:val="0000"/>
      </w:tblPr>
      <w:tblGrid>
        <w:gridCol w:w="1240"/>
        <w:gridCol w:w="1206"/>
        <w:gridCol w:w="1206"/>
        <w:gridCol w:w="1162"/>
      </w:tblGrid>
      <w:tr w:rsidR="0017763D" w:rsidRPr="007F1538" w:rsidTr="00873D90">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7763D" w:rsidRPr="007F1538" w:rsidRDefault="0047145A" w:rsidP="00683FDF">
            <w:pPr>
              <w:rPr>
                <w:rFonts w:cs="Arial"/>
                <w:lang w:val="fr-FR" w:eastAsia="en-US"/>
              </w:rPr>
            </w:pPr>
            <w:r w:rsidRPr="007F1538">
              <w:rPr>
                <w:rFonts w:cs="Arial"/>
                <w:lang w:val="fr-FR" w:eastAsia="en-US"/>
              </w:rPr>
              <w:t>2009</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17763D" w:rsidRPr="007F1538" w:rsidRDefault="00873D90" w:rsidP="00690B4E">
            <w:pPr>
              <w:rPr>
                <w:rFonts w:cs="Arial"/>
                <w:lang w:val="fr-FR" w:eastAsia="en-US"/>
              </w:rPr>
            </w:pPr>
            <w:r w:rsidRPr="00873D90">
              <w:rPr>
                <w:rFonts w:cs="Arial"/>
                <w:lang w:val="fr-FR" w:eastAsia="en-US"/>
              </w:rPr>
              <w:t>Couverture (%)</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17763D" w:rsidRPr="007F1538" w:rsidRDefault="00873D90" w:rsidP="00690B4E">
            <w:pPr>
              <w:rPr>
                <w:rFonts w:cs="Arial"/>
                <w:lang w:val="fr-FR" w:eastAsia="en-US"/>
              </w:rPr>
            </w:pPr>
            <w:r w:rsidRPr="00873D90">
              <w:rPr>
                <w:rFonts w:cs="Arial"/>
                <w:lang w:val="fr-FR" w:eastAsia="en-US"/>
              </w:rPr>
              <w:t>Couverture (abs.)</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17763D" w:rsidRPr="007F1538" w:rsidRDefault="00873D90" w:rsidP="00690B4E">
            <w:pPr>
              <w:rPr>
                <w:rFonts w:cs="Arial"/>
                <w:lang w:val="fr-FR" w:eastAsia="en-US"/>
              </w:rPr>
            </w:pPr>
            <w:r w:rsidRPr="00873D90">
              <w:rPr>
                <w:rFonts w:cs="Arial"/>
                <w:lang w:val="fr-FR" w:eastAsia="en-US"/>
              </w:rPr>
              <w:t>Population</w:t>
            </w:r>
          </w:p>
        </w:tc>
      </w:tr>
      <w:tr w:rsidR="0017763D" w:rsidRPr="007F1538" w:rsidTr="00873D90">
        <w:tc>
          <w:tcPr>
            <w:tcW w:w="1240" w:type="dxa"/>
            <w:tcBorders>
              <w:top w:val="nil"/>
              <w:left w:val="single" w:sz="8" w:space="0" w:color="auto"/>
              <w:bottom w:val="single" w:sz="8" w:space="0" w:color="auto"/>
              <w:right w:val="single" w:sz="8" w:space="0" w:color="auto"/>
            </w:tcBorders>
            <w:shd w:val="clear" w:color="auto" w:fill="auto"/>
            <w:noWrap/>
            <w:vAlign w:val="bottom"/>
          </w:tcPr>
          <w:p w:rsidR="0017763D" w:rsidRPr="007F1538" w:rsidRDefault="00873D90" w:rsidP="00690B4E">
            <w:pPr>
              <w:rPr>
                <w:rFonts w:cs="Arial"/>
                <w:lang w:val="fr-FR" w:eastAsia="en-US"/>
              </w:rPr>
            </w:pPr>
            <w:r w:rsidRPr="00873D90">
              <w:rPr>
                <w:rFonts w:cs="Arial"/>
                <w:lang w:val="fr-FR" w:eastAsia="en-US"/>
              </w:rPr>
              <w:t>Flandre</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B84E46" w:rsidP="00683FDF">
            <w:pPr>
              <w:rPr>
                <w:rFonts w:cs="Arial"/>
                <w:lang w:val="fr-FR" w:eastAsia="en-US"/>
              </w:rPr>
            </w:pPr>
            <w:r w:rsidRPr="007F1538">
              <w:rPr>
                <w:rFonts w:cs="Arial"/>
                <w:lang w:val="fr-FR" w:eastAsia="en-US"/>
              </w:rPr>
              <w:t>25,1</w:t>
            </w:r>
            <w:r w:rsidR="003B6139" w:rsidRPr="007F1538">
              <w:rPr>
                <w:rFonts w:cs="Arial"/>
                <w:lang w:val="fr-FR" w:eastAsia="en-US"/>
              </w:rPr>
              <w:t>%</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B84E46" w:rsidP="00683FDF">
            <w:pPr>
              <w:rPr>
                <w:rFonts w:cs="Arial"/>
                <w:lang w:val="fr-FR" w:eastAsia="en-US"/>
              </w:rPr>
            </w:pPr>
            <w:r w:rsidRPr="007F1538">
              <w:rPr>
                <w:rFonts w:cs="Arial"/>
                <w:lang w:val="fr-FR" w:eastAsia="en-US"/>
              </w:rPr>
              <w:t>946</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17763D" w:rsidP="00683FDF">
            <w:pPr>
              <w:rPr>
                <w:rFonts w:cs="Arial"/>
                <w:lang w:val="fr-FR" w:eastAsia="en-US"/>
              </w:rPr>
            </w:pPr>
            <w:r w:rsidRPr="007F1538">
              <w:rPr>
                <w:rFonts w:cs="Arial"/>
                <w:lang w:val="fr-FR" w:eastAsia="en-US"/>
              </w:rPr>
              <w:t>3.771</w:t>
            </w:r>
          </w:p>
        </w:tc>
      </w:tr>
      <w:tr w:rsidR="0017763D" w:rsidRPr="007F1538" w:rsidTr="00873D90">
        <w:tc>
          <w:tcPr>
            <w:tcW w:w="1240" w:type="dxa"/>
            <w:tcBorders>
              <w:top w:val="nil"/>
              <w:left w:val="single" w:sz="8" w:space="0" w:color="auto"/>
              <w:bottom w:val="single" w:sz="8" w:space="0" w:color="auto"/>
              <w:right w:val="single" w:sz="8" w:space="0" w:color="auto"/>
            </w:tcBorders>
            <w:shd w:val="clear" w:color="auto" w:fill="auto"/>
            <w:noWrap/>
            <w:vAlign w:val="bottom"/>
          </w:tcPr>
          <w:p w:rsidR="0017763D" w:rsidRPr="007F1538" w:rsidRDefault="00873D90" w:rsidP="00690B4E">
            <w:pPr>
              <w:rPr>
                <w:rFonts w:cs="Arial"/>
                <w:lang w:val="fr-FR" w:eastAsia="en-US"/>
              </w:rPr>
            </w:pPr>
            <w:r w:rsidRPr="00873D90">
              <w:rPr>
                <w:rFonts w:cs="Arial"/>
                <w:lang w:val="fr-FR" w:eastAsia="en-US"/>
              </w:rPr>
              <w:t>Wallonie</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B84E46" w:rsidP="00683FDF">
            <w:pPr>
              <w:rPr>
                <w:rFonts w:cs="Arial"/>
                <w:lang w:val="fr-FR" w:eastAsia="en-US"/>
              </w:rPr>
            </w:pPr>
            <w:r w:rsidRPr="007F1538">
              <w:rPr>
                <w:rFonts w:cs="Arial"/>
                <w:lang w:val="fr-FR" w:eastAsia="en-US"/>
              </w:rPr>
              <w:t>16</w:t>
            </w:r>
            <w:r w:rsidR="003B6139" w:rsidRPr="007F1538">
              <w:rPr>
                <w:rFonts w:cs="Arial"/>
                <w:lang w:val="fr-FR" w:eastAsia="en-US"/>
              </w:rPr>
              <w:t>,6%</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3B6139" w:rsidP="00B84E46">
            <w:pPr>
              <w:rPr>
                <w:rFonts w:cs="Arial"/>
                <w:lang w:val="fr-FR" w:eastAsia="en-US"/>
              </w:rPr>
            </w:pPr>
            <w:r w:rsidRPr="007F1538">
              <w:rPr>
                <w:rFonts w:cs="Arial"/>
                <w:lang w:val="fr-FR" w:eastAsia="en-US"/>
              </w:rPr>
              <w:t>2</w:t>
            </w:r>
            <w:r w:rsidR="00B84E46" w:rsidRPr="007F1538">
              <w:rPr>
                <w:rFonts w:cs="Arial"/>
                <w:lang w:val="fr-FR" w:eastAsia="en-US"/>
              </w:rPr>
              <w:t>64</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17763D" w:rsidP="00683FDF">
            <w:pPr>
              <w:rPr>
                <w:rFonts w:cs="Arial"/>
                <w:lang w:val="fr-FR" w:eastAsia="en-US"/>
              </w:rPr>
            </w:pPr>
            <w:r w:rsidRPr="007F1538">
              <w:rPr>
                <w:rFonts w:cs="Arial"/>
                <w:lang w:val="fr-FR" w:eastAsia="en-US"/>
              </w:rPr>
              <w:t>1.595</w:t>
            </w:r>
          </w:p>
        </w:tc>
      </w:tr>
      <w:tr w:rsidR="0017763D" w:rsidRPr="007F1538" w:rsidTr="00873D90">
        <w:tc>
          <w:tcPr>
            <w:tcW w:w="1240" w:type="dxa"/>
            <w:tcBorders>
              <w:top w:val="nil"/>
              <w:left w:val="single" w:sz="8" w:space="0" w:color="auto"/>
              <w:bottom w:val="single" w:sz="8" w:space="0" w:color="auto"/>
              <w:right w:val="single" w:sz="8" w:space="0" w:color="auto"/>
            </w:tcBorders>
            <w:shd w:val="clear" w:color="auto" w:fill="auto"/>
            <w:noWrap/>
            <w:vAlign w:val="bottom"/>
          </w:tcPr>
          <w:p w:rsidR="0017763D" w:rsidRPr="007F1538" w:rsidRDefault="00873D90" w:rsidP="00690B4E">
            <w:pPr>
              <w:rPr>
                <w:rFonts w:cs="Arial"/>
                <w:lang w:val="fr-FR" w:eastAsia="en-US"/>
              </w:rPr>
            </w:pPr>
            <w:r w:rsidRPr="00873D90">
              <w:rPr>
                <w:rFonts w:cs="Arial"/>
                <w:lang w:val="fr-FR" w:eastAsia="en-US"/>
              </w:rPr>
              <w:t>Bruxelles</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B84E46" w:rsidP="00683FDF">
            <w:pPr>
              <w:rPr>
                <w:rFonts w:cs="Arial"/>
                <w:lang w:val="fr-FR" w:eastAsia="en-US"/>
              </w:rPr>
            </w:pPr>
            <w:r w:rsidRPr="007F1538">
              <w:rPr>
                <w:rFonts w:cs="Arial"/>
                <w:lang w:val="fr-FR" w:eastAsia="en-US"/>
              </w:rPr>
              <w:t>7,7</w:t>
            </w:r>
            <w:r w:rsidR="003B6139" w:rsidRPr="007F1538">
              <w:rPr>
                <w:rFonts w:cs="Arial"/>
                <w:lang w:val="fr-FR" w:eastAsia="en-US"/>
              </w:rPr>
              <w:t>%</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B84E46" w:rsidP="00683FDF">
            <w:pPr>
              <w:rPr>
                <w:rFonts w:cs="Arial"/>
                <w:lang w:val="fr-FR" w:eastAsia="en-US"/>
              </w:rPr>
            </w:pPr>
            <w:r w:rsidRPr="007F1538">
              <w:rPr>
                <w:rFonts w:cs="Arial"/>
                <w:lang w:val="fr-FR" w:eastAsia="en-US"/>
              </w:rPr>
              <w:t>2</w:t>
            </w:r>
            <w:r w:rsidR="003B6139" w:rsidRPr="007F1538">
              <w:rPr>
                <w:rFonts w:cs="Arial"/>
                <w:lang w:val="fr-FR" w:eastAsia="en-US"/>
              </w:rPr>
              <w:t>8</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17763D" w:rsidP="00683FDF">
            <w:pPr>
              <w:rPr>
                <w:rFonts w:cs="Arial"/>
                <w:lang w:val="fr-FR" w:eastAsia="en-US"/>
              </w:rPr>
            </w:pPr>
            <w:r w:rsidRPr="007F1538">
              <w:rPr>
                <w:rFonts w:cs="Arial"/>
                <w:lang w:val="fr-FR" w:eastAsia="en-US"/>
              </w:rPr>
              <w:t>366</w:t>
            </w:r>
          </w:p>
        </w:tc>
      </w:tr>
      <w:tr w:rsidR="0017763D" w:rsidRPr="007F1538" w:rsidTr="00873D90">
        <w:tc>
          <w:tcPr>
            <w:tcW w:w="1240" w:type="dxa"/>
            <w:tcBorders>
              <w:top w:val="nil"/>
              <w:left w:val="single" w:sz="8" w:space="0" w:color="auto"/>
              <w:bottom w:val="single" w:sz="8" w:space="0" w:color="auto"/>
              <w:right w:val="single" w:sz="8" w:space="0" w:color="auto"/>
            </w:tcBorders>
            <w:shd w:val="clear" w:color="auto" w:fill="auto"/>
            <w:noWrap/>
            <w:vAlign w:val="bottom"/>
          </w:tcPr>
          <w:p w:rsidR="0017763D" w:rsidRPr="007F1538" w:rsidRDefault="00873D90" w:rsidP="00690B4E">
            <w:pPr>
              <w:rPr>
                <w:rFonts w:cs="Arial"/>
                <w:i/>
                <w:lang w:val="fr-FR" w:eastAsia="en-US"/>
              </w:rPr>
            </w:pPr>
            <w:r w:rsidRPr="00873D90">
              <w:rPr>
                <w:rFonts w:cs="Arial"/>
                <w:i/>
                <w:lang w:val="fr-FR" w:eastAsia="en-US"/>
              </w:rPr>
              <w:t>Total</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3B6139" w:rsidP="00B84E46">
            <w:pPr>
              <w:rPr>
                <w:rFonts w:cs="Arial"/>
                <w:i/>
                <w:lang w:val="fr-FR" w:eastAsia="en-US"/>
              </w:rPr>
            </w:pPr>
            <w:r w:rsidRPr="007F1538">
              <w:rPr>
                <w:rFonts w:cs="Arial"/>
                <w:i/>
                <w:lang w:val="fr-FR" w:eastAsia="en-US"/>
              </w:rPr>
              <w:t>2</w:t>
            </w:r>
            <w:r w:rsidR="00B84E46" w:rsidRPr="007F1538">
              <w:rPr>
                <w:rFonts w:cs="Arial"/>
                <w:i/>
                <w:lang w:val="fr-FR" w:eastAsia="en-US"/>
              </w:rPr>
              <w:t>1,6</w:t>
            </w:r>
            <w:r w:rsidRPr="007F1538">
              <w:rPr>
                <w:rFonts w:cs="Arial"/>
                <w:i/>
                <w:lang w:val="fr-FR" w:eastAsia="en-US"/>
              </w:rPr>
              <w:t>%</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3B6139" w:rsidP="00B84E46">
            <w:pPr>
              <w:rPr>
                <w:rFonts w:cs="Arial"/>
                <w:i/>
                <w:lang w:val="fr-FR" w:eastAsia="en-US"/>
              </w:rPr>
            </w:pPr>
            <w:r w:rsidRPr="007F1538">
              <w:rPr>
                <w:rFonts w:cs="Arial"/>
                <w:i/>
                <w:lang w:val="fr-FR" w:eastAsia="en-US"/>
              </w:rPr>
              <w:t>1</w:t>
            </w:r>
            <w:r w:rsidR="00B84E46" w:rsidRPr="007F1538">
              <w:rPr>
                <w:rFonts w:cs="Arial"/>
                <w:i/>
                <w:lang w:val="fr-FR" w:eastAsia="en-US"/>
              </w:rPr>
              <w:t>.238</w:t>
            </w:r>
          </w:p>
        </w:tc>
        <w:tc>
          <w:tcPr>
            <w:tcW w:w="960" w:type="dxa"/>
            <w:tcBorders>
              <w:top w:val="nil"/>
              <w:left w:val="nil"/>
              <w:bottom w:val="single" w:sz="8" w:space="0" w:color="auto"/>
              <w:right w:val="single" w:sz="8" w:space="0" w:color="auto"/>
            </w:tcBorders>
            <w:shd w:val="clear" w:color="auto" w:fill="auto"/>
            <w:noWrap/>
            <w:vAlign w:val="bottom"/>
          </w:tcPr>
          <w:p w:rsidR="0017763D" w:rsidRPr="007F1538" w:rsidRDefault="0017763D" w:rsidP="00683FDF">
            <w:pPr>
              <w:rPr>
                <w:rFonts w:cs="Arial"/>
                <w:i/>
                <w:lang w:val="fr-FR" w:eastAsia="en-US"/>
              </w:rPr>
            </w:pPr>
            <w:r w:rsidRPr="007F1538">
              <w:rPr>
                <w:rFonts w:cs="Arial"/>
                <w:i/>
                <w:lang w:val="fr-FR" w:eastAsia="en-US"/>
              </w:rPr>
              <w:t>5.732</w:t>
            </w:r>
          </w:p>
        </w:tc>
      </w:tr>
    </w:tbl>
    <w:p w:rsidR="002740EC" w:rsidRPr="007F1538" w:rsidRDefault="002740EC" w:rsidP="00683FDF">
      <w:pPr>
        <w:rPr>
          <w:rFonts w:cs="Arial"/>
          <w:lang w:val="fr-FR"/>
        </w:rPr>
      </w:pPr>
    </w:p>
    <w:p w:rsidR="00760E4A" w:rsidRPr="007F1538" w:rsidRDefault="00873D90" w:rsidP="00683FDF">
      <w:pPr>
        <w:rPr>
          <w:rFonts w:cs="Arial"/>
          <w:lang w:val="fr-FR"/>
        </w:rPr>
      </w:pPr>
      <w:r w:rsidRPr="00873D90">
        <w:rPr>
          <w:rFonts w:cs="Arial"/>
          <w:lang w:val="fr-FR"/>
        </w:rPr>
        <w:t>La portée de l’IFP varie fortement en fonction du sous-secteur.</w:t>
      </w:r>
      <w:r w:rsidR="00760E4A" w:rsidRPr="007F1538">
        <w:rPr>
          <w:rFonts w:cs="Arial"/>
          <w:lang w:val="fr-FR"/>
        </w:rPr>
        <w:t xml:space="preserve"> </w:t>
      </w:r>
      <w:r w:rsidRPr="00873D90">
        <w:rPr>
          <w:rFonts w:cs="Arial"/>
          <w:lang w:val="fr-FR"/>
        </w:rPr>
        <w:t>Elle dépend notamment de la taille moyenne des entreprises dans chacun de ces sous-secteurs.</w:t>
      </w:r>
      <w:r w:rsidR="00943B33" w:rsidRPr="007F1538">
        <w:rPr>
          <w:rFonts w:cs="Arial"/>
          <w:lang w:val="fr-FR"/>
        </w:rPr>
        <w:t xml:space="preserve"> </w:t>
      </w:r>
      <w:r w:rsidRPr="00873D90">
        <w:rPr>
          <w:rFonts w:cs="Arial"/>
          <w:lang w:val="fr-FR"/>
        </w:rPr>
        <w:t>En règle générale, plus l’entreprise est grande, plus la portée est meilleure.</w:t>
      </w:r>
      <w:r w:rsidR="00B67161">
        <w:rPr>
          <w:rFonts w:cs="Arial"/>
          <w:lang w:val="fr-FR"/>
        </w:rPr>
        <w:t xml:space="preserve"> </w:t>
      </w:r>
      <w:r w:rsidRPr="00873D90">
        <w:rPr>
          <w:rFonts w:cs="Arial"/>
          <w:lang w:val="fr-FR"/>
        </w:rPr>
        <w:t>D’un autre côté, l’IFP consent de nombreux efforts afin de faire correspondre au mieux ses services avec les PME.</w:t>
      </w:r>
      <w:r w:rsidR="00943B33" w:rsidRPr="007F1538">
        <w:rPr>
          <w:rFonts w:cs="Arial"/>
          <w:lang w:val="fr-FR"/>
        </w:rPr>
        <w:t xml:space="preserve"> </w:t>
      </w:r>
      <w:r w:rsidRPr="00873D90">
        <w:rPr>
          <w:rFonts w:cs="Arial"/>
          <w:lang w:val="fr-FR"/>
        </w:rPr>
        <w:t>La forte augmentation de la portée des boulangers, généralement de petites entreprises, prouve que cette initiative paye.</w:t>
      </w:r>
      <w:r w:rsidR="00943B33" w:rsidRPr="007F1538">
        <w:rPr>
          <w:rFonts w:cs="Arial"/>
          <w:lang w:val="fr-FR"/>
        </w:rPr>
        <w:t xml:space="preserve"> </w:t>
      </w:r>
      <w:r w:rsidRPr="00983E86">
        <w:rPr>
          <w:rFonts w:cs="Arial"/>
          <w:lang w:val="fr-FR"/>
        </w:rPr>
        <w:t xml:space="preserve">En 2009, un conseiller spécifique a été engagé afin de mieux répondre à leurs besoins </w:t>
      </w:r>
      <w:r w:rsidR="003E1A44">
        <w:rPr>
          <w:rFonts w:cs="Arial"/>
          <w:lang w:val="fr-FR"/>
        </w:rPr>
        <w:t>particuliers</w:t>
      </w:r>
      <w:r w:rsidRPr="00983E86">
        <w:rPr>
          <w:rFonts w:cs="Arial"/>
          <w:lang w:val="fr-FR"/>
        </w:rPr>
        <w:t>, ce qui entraîne une porté</w:t>
      </w:r>
      <w:r w:rsidR="00983E86" w:rsidRPr="00983E86">
        <w:rPr>
          <w:rFonts w:cs="Arial"/>
          <w:lang w:val="fr-FR"/>
        </w:rPr>
        <w:t>e</w:t>
      </w:r>
      <w:r w:rsidRPr="00983E86">
        <w:rPr>
          <w:rFonts w:cs="Arial"/>
          <w:lang w:val="fr-FR"/>
        </w:rPr>
        <w:t xml:space="preserve"> 6,5 fois supérieure à celle de 2008.</w:t>
      </w:r>
    </w:p>
    <w:p w:rsidR="00943B33" w:rsidRPr="007F1538" w:rsidRDefault="00943B33" w:rsidP="00683FDF">
      <w:pPr>
        <w:rPr>
          <w:rFonts w:cs="Arial"/>
          <w:lang w:val="fr-FR"/>
        </w:rPr>
      </w:pPr>
    </w:p>
    <w:p w:rsidR="00501834" w:rsidRPr="007F1538" w:rsidRDefault="007A50E0" w:rsidP="00683FDF">
      <w:pPr>
        <w:rPr>
          <w:rFonts w:cs="Arial"/>
          <w:lang w:val="fr-FR"/>
        </w:rPr>
      </w:pPr>
      <w:r>
        <w:rPr>
          <w:rFonts w:cs="Arial"/>
          <w:lang w:val="fr-FR"/>
        </w:rPr>
        <w:t>Tableau 9</w:t>
      </w:r>
      <w:r w:rsidR="00873D90" w:rsidRPr="00873D90">
        <w:rPr>
          <w:rFonts w:cs="Arial"/>
          <w:lang w:val="fr-FR"/>
        </w:rPr>
        <w:t> : couverture employeurs en % du sous-secteur</w:t>
      </w:r>
    </w:p>
    <w:tbl>
      <w:tblPr>
        <w:tblW w:w="9461" w:type="dxa"/>
        <w:tblInd w:w="98" w:type="dxa"/>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ook w:val="0000"/>
      </w:tblPr>
      <w:tblGrid>
        <w:gridCol w:w="4755"/>
        <w:gridCol w:w="1295"/>
        <w:gridCol w:w="1340"/>
        <w:gridCol w:w="1206"/>
        <w:gridCol w:w="1162"/>
      </w:tblGrid>
      <w:tr w:rsidR="00F9462D" w:rsidRPr="007F1538" w:rsidTr="00873D90">
        <w:tc>
          <w:tcPr>
            <w:tcW w:w="4755" w:type="dxa"/>
            <w:shd w:val="clear" w:color="auto" w:fill="auto"/>
            <w:noWrap/>
            <w:vAlign w:val="bottom"/>
          </w:tcPr>
          <w:p w:rsidR="000318BE" w:rsidRPr="007F1538" w:rsidRDefault="00873D90" w:rsidP="00690B4E">
            <w:pPr>
              <w:rPr>
                <w:rFonts w:cs="Arial"/>
                <w:lang w:val="fr-FR" w:eastAsia="en-US"/>
              </w:rPr>
            </w:pPr>
            <w:r w:rsidRPr="00873D90">
              <w:rPr>
                <w:rFonts w:cs="Arial"/>
                <w:lang w:val="fr-FR" w:eastAsia="en-US"/>
              </w:rPr>
              <w:t>Sous-secteur (selon code NACE)</w:t>
            </w:r>
          </w:p>
        </w:tc>
        <w:tc>
          <w:tcPr>
            <w:tcW w:w="1295" w:type="dxa"/>
            <w:shd w:val="clear" w:color="auto" w:fill="auto"/>
            <w:noWrap/>
          </w:tcPr>
          <w:p w:rsidR="000318BE" w:rsidRPr="007F1538" w:rsidRDefault="00873D90" w:rsidP="00690B4E">
            <w:pPr>
              <w:jc w:val="center"/>
              <w:rPr>
                <w:rFonts w:cs="Arial"/>
                <w:lang w:val="fr-FR" w:eastAsia="en-US"/>
              </w:rPr>
            </w:pPr>
            <w:r w:rsidRPr="00873D90">
              <w:rPr>
                <w:rFonts w:cs="Arial"/>
                <w:lang w:val="fr-FR" w:eastAsia="en-US"/>
              </w:rPr>
              <w:t>Taille moyenne</w:t>
            </w:r>
          </w:p>
        </w:tc>
        <w:tc>
          <w:tcPr>
            <w:tcW w:w="1340" w:type="dxa"/>
            <w:shd w:val="clear" w:color="auto" w:fill="auto"/>
            <w:noWrap/>
          </w:tcPr>
          <w:p w:rsidR="000318BE" w:rsidRPr="007F1538" w:rsidRDefault="00873D90" w:rsidP="00690B4E">
            <w:pPr>
              <w:jc w:val="center"/>
              <w:rPr>
                <w:rFonts w:cs="Arial"/>
                <w:lang w:val="fr-FR" w:eastAsia="en-US"/>
              </w:rPr>
            </w:pPr>
            <w:r w:rsidRPr="00873D90">
              <w:rPr>
                <w:rFonts w:cs="Arial"/>
                <w:lang w:val="fr-FR" w:eastAsia="en-US"/>
              </w:rPr>
              <w:t>Couverture (%)</w:t>
            </w:r>
          </w:p>
        </w:tc>
        <w:tc>
          <w:tcPr>
            <w:tcW w:w="1015" w:type="dxa"/>
            <w:shd w:val="clear" w:color="auto" w:fill="auto"/>
            <w:noWrap/>
          </w:tcPr>
          <w:p w:rsidR="000318BE" w:rsidRPr="007F1538" w:rsidRDefault="00873D90" w:rsidP="00690B4E">
            <w:pPr>
              <w:jc w:val="center"/>
              <w:rPr>
                <w:rFonts w:cs="Arial"/>
                <w:lang w:val="fr-FR" w:eastAsia="en-US"/>
              </w:rPr>
            </w:pPr>
            <w:r w:rsidRPr="00873D90">
              <w:rPr>
                <w:rFonts w:cs="Arial"/>
                <w:lang w:val="fr-FR" w:eastAsia="en-US"/>
              </w:rPr>
              <w:t>Couverture (abs.)</w:t>
            </w:r>
          </w:p>
        </w:tc>
        <w:tc>
          <w:tcPr>
            <w:tcW w:w="1056" w:type="dxa"/>
            <w:shd w:val="clear" w:color="auto" w:fill="auto"/>
            <w:noWrap/>
          </w:tcPr>
          <w:p w:rsidR="000318BE" w:rsidRPr="007F1538" w:rsidRDefault="00873D90" w:rsidP="00690B4E">
            <w:pPr>
              <w:jc w:val="center"/>
              <w:rPr>
                <w:rFonts w:cs="Arial"/>
                <w:lang w:val="fr-FR" w:eastAsia="en-US"/>
              </w:rPr>
            </w:pPr>
            <w:r w:rsidRPr="00873D90">
              <w:rPr>
                <w:rFonts w:cs="Arial"/>
                <w:lang w:val="fr-FR" w:eastAsia="en-US"/>
              </w:rPr>
              <w:t>Population</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15.1 </w:t>
            </w:r>
            <w:r w:rsidR="00873D90" w:rsidRPr="00873D90">
              <w:rPr>
                <w:rFonts w:cs="Arial"/>
                <w:lang w:val="fr-FR" w:eastAsia="en-US"/>
              </w:rPr>
              <w:t>Viande et produits de viande (abattoirs inclus)</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26</w:t>
            </w:r>
          </w:p>
        </w:tc>
        <w:tc>
          <w:tcPr>
            <w:tcW w:w="1340"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24,0</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128</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534</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15.2 </w:t>
            </w:r>
            <w:r w:rsidR="00873D90" w:rsidRPr="00873D90">
              <w:rPr>
                <w:rFonts w:cs="Arial"/>
                <w:lang w:val="fr-FR" w:eastAsia="en-US"/>
              </w:rPr>
              <w:t>Poisson et produits à base de poisson</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18</w:t>
            </w:r>
          </w:p>
        </w:tc>
        <w:tc>
          <w:tcPr>
            <w:tcW w:w="1340"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24,4</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10</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41</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15.3 </w:t>
            </w:r>
            <w:r w:rsidR="00873D90" w:rsidRPr="00873D90">
              <w:rPr>
                <w:rFonts w:cs="Arial"/>
                <w:lang w:val="fr-FR" w:eastAsia="en-US"/>
              </w:rPr>
              <w:t>Transformation et conservation des fruits et légumes</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66</w:t>
            </w:r>
          </w:p>
        </w:tc>
        <w:tc>
          <w:tcPr>
            <w:tcW w:w="1340"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41,7</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48</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115</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15.4 </w:t>
            </w:r>
            <w:r w:rsidR="00873D90" w:rsidRPr="00873D90">
              <w:rPr>
                <w:rFonts w:cs="Arial"/>
                <w:lang w:val="fr-FR" w:eastAsia="en-US"/>
              </w:rPr>
              <w:t>Huiles et graisses animales et végétales</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54</w:t>
            </w:r>
          </w:p>
        </w:tc>
        <w:tc>
          <w:tcPr>
            <w:tcW w:w="1340"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45,0</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9</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20</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15.5 </w:t>
            </w:r>
            <w:r w:rsidR="00873D90" w:rsidRPr="00873D90">
              <w:rPr>
                <w:rFonts w:cs="Arial"/>
                <w:lang w:val="fr-FR" w:eastAsia="en-US"/>
              </w:rPr>
              <w:t>Produits laitiers</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44</w:t>
            </w:r>
          </w:p>
        </w:tc>
        <w:tc>
          <w:tcPr>
            <w:tcW w:w="1340"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37,7</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61</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162</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15.6 </w:t>
            </w:r>
            <w:r w:rsidR="00873D90" w:rsidRPr="00873D90">
              <w:rPr>
                <w:rFonts w:cs="Arial"/>
                <w:lang w:val="fr-FR" w:eastAsia="en-US"/>
              </w:rPr>
              <w:t>Amidon et produits amylacés</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29</w:t>
            </w:r>
          </w:p>
        </w:tc>
        <w:tc>
          <w:tcPr>
            <w:tcW w:w="1340"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39,3</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22</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56</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15.7 </w:t>
            </w:r>
            <w:r w:rsidR="00873D90" w:rsidRPr="00873D90">
              <w:rPr>
                <w:rFonts w:cs="Arial"/>
                <w:lang w:val="fr-FR" w:eastAsia="en-US"/>
              </w:rPr>
              <w:t>Aliments pour animaux</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19</w:t>
            </w:r>
          </w:p>
        </w:tc>
        <w:tc>
          <w:tcPr>
            <w:tcW w:w="1340" w:type="dxa"/>
            <w:shd w:val="clear" w:color="auto" w:fill="auto"/>
            <w:noWrap/>
            <w:vAlign w:val="bottom"/>
          </w:tcPr>
          <w:p w:rsidR="000318BE" w:rsidRPr="007F1538" w:rsidRDefault="00B84E46" w:rsidP="00E728A2">
            <w:pPr>
              <w:jc w:val="center"/>
              <w:rPr>
                <w:rFonts w:cs="Arial"/>
                <w:lang w:val="fr-FR" w:eastAsia="en-US"/>
              </w:rPr>
            </w:pPr>
            <w:r w:rsidRPr="007F1538">
              <w:rPr>
                <w:rFonts w:cs="Arial"/>
                <w:lang w:val="fr-FR" w:eastAsia="en-US"/>
              </w:rPr>
              <w:t>37,4</w:t>
            </w:r>
            <w:r w:rsidR="000318BE" w:rsidRPr="007F1538">
              <w:rPr>
                <w:rFonts w:cs="Arial"/>
                <w:lang w:val="fr-FR" w:eastAsia="en-US"/>
              </w:rPr>
              <w:t>%</w:t>
            </w:r>
          </w:p>
        </w:tc>
        <w:tc>
          <w:tcPr>
            <w:tcW w:w="1015" w:type="dxa"/>
            <w:shd w:val="clear" w:color="auto" w:fill="auto"/>
            <w:noWrap/>
            <w:vAlign w:val="bottom"/>
          </w:tcPr>
          <w:p w:rsidR="000318BE" w:rsidRPr="007F1538" w:rsidRDefault="00E728A2" w:rsidP="00E728A2">
            <w:pPr>
              <w:jc w:val="center"/>
              <w:rPr>
                <w:rFonts w:cs="Arial"/>
                <w:lang w:val="fr-FR" w:eastAsia="en-US"/>
              </w:rPr>
            </w:pPr>
            <w:r w:rsidRPr="007F1538">
              <w:rPr>
                <w:rFonts w:cs="Arial"/>
                <w:lang w:val="fr-FR" w:eastAsia="en-US"/>
              </w:rPr>
              <w:t>58</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155</w:t>
            </w:r>
          </w:p>
        </w:tc>
      </w:tr>
      <w:tr w:rsidR="00F9462D" w:rsidRPr="007F1538" w:rsidTr="00873D90">
        <w:tc>
          <w:tcPr>
            <w:tcW w:w="4755" w:type="dxa"/>
            <w:shd w:val="clear" w:color="auto" w:fill="auto"/>
            <w:noWrap/>
            <w:vAlign w:val="bottom"/>
          </w:tcPr>
          <w:p w:rsidR="000318BE" w:rsidRPr="007F1538" w:rsidRDefault="00566DEB" w:rsidP="00690B4E">
            <w:pPr>
              <w:rPr>
                <w:rFonts w:cs="Arial"/>
                <w:lang w:val="fr-FR" w:eastAsia="en-US"/>
              </w:rPr>
            </w:pPr>
            <w:r w:rsidRPr="007F1538">
              <w:rPr>
                <w:rFonts w:cs="Arial"/>
                <w:lang w:val="fr-FR" w:eastAsia="en-US"/>
              </w:rPr>
              <w:t xml:space="preserve">15.8 </w:t>
            </w:r>
            <w:r w:rsidR="00873D90" w:rsidRPr="00873D90">
              <w:rPr>
                <w:rFonts w:cs="Arial"/>
                <w:lang w:val="fr-FR" w:eastAsia="en-US"/>
              </w:rPr>
              <w:t>Autres produits alimentaires (entre autres : pain, pâtisserie, biscuits, céréales et pâtes alimentaires, cacao, sucre, …)</w:t>
            </w:r>
          </w:p>
        </w:tc>
        <w:tc>
          <w:tcPr>
            <w:tcW w:w="1295"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10</w:t>
            </w:r>
          </w:p>
        </w:tc>
        <w:tc>
          <w:tcPr>
            <w:tcW w:w="1340" w:type="dxa"/>
            <w:shd w:val="clear" w:color="auto" w:fill="auto"/>
            <w:noWrap/>
            <w:vAlign w:val="bottom"/>
          </w:tcPr>
          <w:p w:rsidR="000318BE" w:rsidRPr="007F1538" w:rsidRDefault="00B84E46" w:rsidP="00E728A2">
            <w:pPr>
              <w:jc w:val="center"/>
              <w:rPr>
                <w:rFonts w:cs="Arial"/>
                <w:lang w:val="fr-FR" w:eastAsia="en-US"/>
              </w:rPr>
            </w:pPr>
            <w:r w:rsidRPr="007F1538">
              <w:rPr>
                <w:rFonts w:cs="Arial"/>
                <w:lang w:val="fr-FR" w:eastAsia="en-US"/>
              </w:rPr>
              <w:t>18,5</w:t>
            </w:r>
            <w:r w:rsidR="000318BE" w:rsidRPr="007F1538">
              <w:rPr>
                <w:rFonts w:cs="Arial"/>
                <w:lang w:val="fr-FR" w:eastAsia="en-US"/>
              </w:rPr>
              <w:t>%</w:t>
            </w:r>
          </w:p>
        </w:tc>
        <w:tc>
          <w:tcPr>
            <w:tcW w:w="1015" w:type="dxa"/>
            <w:shd w:val="clear" w:color="auto" w:fill="auto"/>
            <w:noWrap/>
            <w:vAlign w:val="bottom"/>
          </w:tcPr>
          <w:p w:rsidR="000318BE" w:rsidRPr="007F1538" w:rsidRDefault="00E728A2" w:rsidP="00B84E46">
            <w:pPr>
              <w:jc w:val="center"/>
              <w:rPr>
                <w:rFonts w:cs="Arial"/>
                <w:lang w:val="fr-FR" w:eastAsia="en-US"/>
              </w:rPr>
            </w:pPr>
            <w:r w:rsidRPr="007F1538">
              <w:rPr>
                <w:rFonts w:cs="Arial"/>
                <w:lang w:val="fr-FR" w:eastAsia="en-US"/>
              </w:rPr>
              <w:t>8</w:t>
            </w:r>
            <w:r w:rsidR="00B84E46" w:rsidRPr="007F1538">
              <w:rPr>
                <w:rFonts w:cs="Arial"/>
                <w:lang w:val="fr-FR" w:eastAsia="en-US"/>
              </w:rPr>
              <w:t>30</w:t>
            </w:r>
          </w:p>
        </w:tc>
        <w:tc>
          <w:tcPr>
            <w:tcW w:w="1056" w:type="dxa"/>
            <w:shd w:val="clear" w:color="auto" w:fill="auto"/>
            <w:noWrap/>
            <w:vAlign w:val="bottom"/>
          </w:tcPr>
          <w:p w:rsidR="000318BE" w:rsidRPr="007F1538" w:rsidRDefault="000318BE" w:rsidP="00E728A2">
            <w:pPr>
              <w:jc w:val="center"/>
              <w:rPr>
                <w:rFonts w:cs="Arial"/>
                <w:lang w:val="fr-FR" w:eastAsia="en-US"/>
              </w:rPr>
            </w:pPr>
            <w:r w:rsidRPr="007F1538">
              <w:rPr>
                <w:rFonts w:cs="Arial"/>
                <w:lang w:val="fr-FR" w:eastAsia="en-US"/>
              </w:rPr>
              <w:t>4.497</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lastRenderedPageBreak/>
              <w:t xml:space="preserve">     15.81 </w:t>
            </w:r>
            <w:r w:rsidR="00873D90" w:rsidRPr="00873D90">
              <w:rPr>
                <w:rFonts w:cs="Arial"/>
                <w:color w:val="333333"/>
                <w:lang w:val="fr-FR"/>
              </w:rPr>
              <w:t>Boulangeries</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6</w:t>
            </w:r>
          </w:p>
        </w:tc>
        <w:tc>
          <w:tcPr>
            <w:tcW w:w="1340" w:type="dxa"/>
            <w:shd w:val="clear" w:color="auto" w:fill="auto"/>
            <w:noWrap/>
            <w:vAlign w:val="bottom"/>
          </w:tcPr>
          <w:p w:rsidR="00E728A2" w:rsidRPr="007F1538" w:rsidRDefault="00E728A2" w:rsidP="00B84E46">
            <w:pPr>
              <w:jc w:val="center"/>
              <w:rPr>
                <w:rFonts w:cs="Arial"/>
                <w:lang w:val="fr-FR"/>
              </w:rPr>
            </w:pPr>
            <w:r w:rsidRPr="007F1538">
              <w:rPr>
                <w:rFonts w:cs="Arial"/>
                <w:lang w:val="fr-FR"/>
              </w:rPr>
              <w:t>16,</w:t>
            </w:r>
            <w:r w:rsidR="00B84E46" w:rsidRPr="007F1538">
              <w:rPr>
                <w:rFonts w:cs="Arial"/>
                <w:lang w:val="fr-FR"/>
              </w:rPr>
              <w:t>1</w:t>
            </w:r>
            <w:r w:rsidRPr="007F1538">
              <w:rPr>
                <w:rFonts w:cs="Arial"/>
                <w:lang w:val="fr-FR"/>
              </w:rPr>
              <w:t>%</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6</w:t>
            </w:r>
            <w:r w:rsidR="00B84E46" w:rsidRPr="007F1538">
              <w:rPr>
                <w:rFonts w:cs="Arial"/>
                <w:color w:val="333333"/>
                <w:lang w:val="fr-FR" w:eastAsia="en-US"/>
              </w:rPr>
              <w:t>22</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3.865</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15.82 </w:t>
            </w:r>
            <w:r w:rsidR="00873D90" w:rsidRPr="00873D90">
              <w:rPr>
                <w:rFonts w:cs="Arial"/>
                <w:color w:val="333333"/>
                <w:lang w:val="fr-FR"/>
              </w:rPr>
              <w:t>Biscotterie, biscuiterie, pâtisserie de conservation</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49</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39,7%</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31</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78</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15.83 </w:t>
            </w:r>
            <w:r w:rsidR="00873D90" w:rsidRPr="00873D90">
              <w:rPr>
                <w:rFonts w:cs="Arial"/>
                <w:color w:val="333333"/>
                <w:lang w:val="fr-FR"/>
              </w:rPr>
              <w:t>Fabrication de sucre</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79</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66,7%</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10</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15</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15.84 </w:t>
            </w:r>
            <w:r w:rsidR="00873D90" w:rsidRPr="00873D90">
              <w:rPr>
                <w:rFonts w:cs="Arial"/>
                <w:color w:val="333333"/>
                <w:lang w:val="fr-FR"/>
              </w:rPr>
              <w:t>Chocolaterie, confiserie</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25</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26,4%</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86</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326</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15.85 </w:t>
            </w:r>
            <w:r w:rsidR="00873D90" w:rsidRPr="00873D90">
              <w:rPr>
                <w:rFonts w:cs="Arial"/>
                <w:color w:val="333333"/>
                <w:lang w:val="fr-FR"/>
              </w:rPr>
              <w:t>Fabrication de pâtes alimentaires</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42</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25,9%</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7</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27</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15.86 </w:t>
            </w:r>
            <w:r w:rsidR="00873D90" w:rsidRPr="00873D90">
              <w:rPr>
                <w:rFonts w:cs="Arial"/>
                <w:color w:val="333333"/>
                <w:lang w:val="fr-FR"/>
              </w:rPr>
              <w:t>Transformation du thé et du café</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28</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18,5%</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12</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65</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15.87 </w:t>
            </w:r>
            <w:r w:rsidR="00873D90" w:rsidRPr="00873D90">
              <w:rPr>
                <w:rFonts w:cs="Arial"/>
                <w:color w:val="333333"/>
                <w:lang w:val="fr-FR"/>
              </w:rPr>
              <w:t>Fabrication de condiments et d’assaisonnements</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33</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46,5%</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20</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43</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15.88 </w:t>
            </w:r>
            <w:r w:rsidR="00873D90" w:rsidRPr="00873D90">
              <w:rPr>
                <w:rFonts w:cs="Arial"/>
                <w:color w:val="333333"/>
                <w:lang w:val="fr-FR"/>
              </w:rPr>
              <w:t>Fabrication d’aliments adaptés à l’enfant et diététiques</w:t>
            </w:r>
          </w:p>
        </w:tc>
        <w:tc>
          <w:tcPr>
            <w:tcW w:w="129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71</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52,9%</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9</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17</w:t>
            </w:r>
          </w:p>
        </w:tc>
      </w:tr>
      <w:tr w:rsidR="00E728A2" w:rsidRPr="007F1538" w:rsidTr="00873D90">
        <w:tc>
          <w:tcPr>
            <w:tcW w:w="4755" w:type="dxa"/>
            <w:shd w:val="clear" w:color="auto" w:fill="auto"/>
            <w:noWrap/>
            <w:vAlign w:val="bottom"/>
          </w:tcPr>
          <w:p w:rsidR="00E728A2" w:rsidRPr="007F1538" w:rsidRDefault="00E728A2" w:rsidP="00690B4E">
            <w:pPr>
              <w:rPr>
                <w:rFonts w:cs="Arial"/>
                <w:color w:val="333333"/>
                <w:lang w:val="fr-FR" w:eastAsia="en-US"/>
              </w:rPr>
            </w:pPr>
            <w:r w:rsidRPr="007F1538">
              <w:rPr>
                <w:rFonts w:cs="Arial"/>
                <w:color w:val="333333"/>
                <w:lang w:val="fr-FR"/>
              </w:rPr>
              <w:t xml:space="preserve">     15.89 </w:t>
            </w:r>
            <w:r w:rsidR="00873D90" w:rsidRPr="00873D90">
              <w:rPr>
                <w:rFonts w:cs="Arial"/>
                <w:color w:val="333333"/>
                <w:lang w:val="fr-FR"/>
              </w:rPr>
              <w:t>Industries alimentaires n.c.a.</w:t>
            </w:r>
          </w:p>
        </w:tc>
        <w:tc>
          <w:tcPr>
            <w:tcW w:w="1295" w:type="dxa"/>
            <w:shd w:val="clear" w:color="auto" w:fill="auto"/>
            <w:noWrap/>
            <w:vAlign w:val="bottom"/>
          </w:tcPr>
          <w:p w:rsidR="00E728A2" w:rsidRPr="007F1538" w:rsidRDefault="00E728A2" w:rsidP="00B84E46">
            <w:pPr>
              <w:jc w:val="center"/>
              <w:rPr>
                <w:rFonts w:cs="Arial"/>
                <w:color w:val="333333"/>
                <w:lang w:val="fr-FR" w:eastAsia="en-US"/>
              </w:rPr>
            </w:pPr>
            <w:r w:rsidRPr="007F1538">
              <w:rPr>
                <w:rFonts w:cs="Arial"/>
                <w:color w:val="333333"/>
                <w:lang w:val="fr-FR"/>
              </w:rPr>
              <w:t>3</w:t>
            </w:r>
            <w:r w:rsidR="00B84E46" w:rsidRPr="007F1538">
              <w:rPr>
                <w:rFonts w:cs="Arial"/>
                <w:color w:val="333333"/>
                <w:lang w:val="fr-FR"/>
              </w:rPr>
              <w:t>9</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54,1%</w:t>
            </w:r>
          </w:p>
        </w:tc>
        <w:tc>
          <w:tcPr>
            <w:tcW w:w="1015"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eastAsia="en-US"/>
              </w:rPr>
              <w:t>33</w:t>
            </w:r>
          </w:p>
        </w:tc>
        <w:tc>
          <w:tcPr>
            <w:tcW w:w="1056" w:type="dxa"/>
            <w:shd w:val="clear" w:color="auto" w:fill="auto"/>
            <w:noWrap/>
            <w:vAlign w:val="bottom"/>
          </w:tcPr>
          <w:p w:rsidR="00E728A2" w:rsidRPr="007F1538" w:rsidRDefault="00E728A2" w:rsidP="00E728A2">
            <w:pPr>
              <w:jc w:val="center"/>
              <w:rPr>
                <w:rFonts w:cs="Arial"/>
                <w:color w:val="333333"/>
                <w:lang w:val="fr-FR" w:eastAsia="en-US"/>
              </w:rPr>
            </w:pPr>
            <w:r w:rsidRPr="007F1538">
              <w:rPr>
                <w:rFonts w:cs="Arial"/>
                <w:color w:val="333333"/>
                <w:lang w:val="fr-FR"/>
              </w:rPr>
              <w:t>61</w:t>
            </w:r>
          </w:p>
        </w:tc>
      </w:tr>
      <w:tr w:rsidR="00E728A2" w:rsidRPr="007F1538" w:rsidTr="00873D90">
        <w:tc>
          <w:tcPr>
            <w:tcW w:w="4755" w:type="dxa"/>
            <w:shd w:val="clear" w:color="auto" w:fill="auto"/>
            <w:noWrap/>
            <w:vAlign w:val="bottom"/>
          </w:tcPr>
          <w:p w:rsidR="00E728A2" w:rsidRPr="007F1538" w:rsidRDefault="00E728A2" w:rsidP="00690B4E">
            <w:pPr>
              <w:rPr>
                <w:rFonts w:cs="Arial"/>
                <w:lang w:val="fr-FR" w:eastAsia="en-US"/>
              </w:rPr>
            </w:pPr>
            <w:r w:rsidRPr="007F1538">
              <w:rPr>
                <w:rFonts w:cs="Arial"/>
                <w:lang w:val="fr-FR" w:eastAsia="en-US"/>
              </w:rPr>
              <w:t xml:space="preserve">15.9 </w:t>
            </w:r>
            <w:r w:rsidR="00873D90" w:rsidRPr="00873D90">
              <w:rPr>
                <w:rFonts w:cs="Arial"/>
                <w:lang w:val="fr-FR" w:eastAsia="en-US"/>
              </w:rPr>
              <w:t>Boissons (brasseries, eau, limonades, …)</w:t>
            </w:r>
          </w:p>
        </w:tc>
        <w:tc>
          <w:tcPr>
            <w:tcW w:w="1295" w:type="dxa"/>
            <w:shd w:val="clear" w:color="auto" w:fill="auto"/>
            <w:noWrap/>
            <w:vAlign w:val="bottom"/>
          </w:tcPr>
          <w:p w:rsidR="00E728A2" w:rsidRPr="007F1538" w:rsidRDefault="00E728A2" w:rsidP="00E728A2">
            <w:pPr>
              <w:jc w:val="center"/>
              <w:rPr>
                <w:rFonts w:cs="Arial"/>
                <w:lang w:val="fr-FR" w:eastAsia="en-US"/>
              </w:rPr>
            </w:pPr>
            <w:r w:rsidRPr="007F1538">
              <w:rPr>
                <w:rFonts w:cs="Arial"/>
                <w:lang w:val="fr-FR" w:eastAsia="en-US"/>
              </w:rPr>
              <w:t>65</w:t>
            </w:r>
          </w:p>
        </w:tc>
        <w:tc>
          <w:tcPr>
            <w:tcW w:w="1340" w:type="dxa"/>
            <w:shd w:val="clear" w:color="auto" w:fill="auto"/>
            <w:noWrap/>
            <w:vAlign w:val="bottom"/>
          </w:tcPr>
          <w:p w:rsidR="00E728A2" w:rsidRPr="007F1538" w:rsidRDefault="00E728A2" w:rsidP="00E728A2">
            <w:pPr>
              <w:jc w:val="center"/>
              <w:rPr>
                <w:rFonts w:cs="Arial"/>
                <w:lang w:val="fr-FR"/>
              </w:rPr>
            </w:pPr>
            <w:r w:rsidRPr="007F1538">
              <w:rPr>
                <w:rFonts w:cs="Arial"/>
                <w:lang w:val="fr-FR"/>
              </w:rPr>
              <w:t>47,4%</w:t>
            </w:r>
          </w:p>
        </w:tc>
        <w:tc>
          <w:tcPr>
            <w:tcW w:w="1015" w:type="dxa"/>
            <w:shd w:val="clear" w:color="auto" w:fill="auto"/>
            <w:noWrap/>
            <w:vAlign w:val="bottom"/>
          </w:tcPr>
          <w:p w:rsidR="00E728A2" w:rsidRPr="007F1538" w:rsidRDefault="00E728A2" w:rsidP="00E728A2">
            <w:pPr>
              <w:jc w:val="center"/>
              <w:rPr>
                <w:rFonts w:cs="Arial"/>
                <w:lang w:val="fr-FR" w:eastAsia="en-US"/>
              </w:rPr>
            </w:pPr>
            <w:r w:rsidRPr="007F1538">
              <w:rPr>
                <w:rFonts w:cs="Arial"/>
                <w:lang w:val="fr-FR" w:eastAsia="en-US"/>
              </w:rPr>
              <w:t>72</w:t>
            </w:r>
          </w:p>
        </w:tc>
        <w:tc>
          <w:tcPr>
            <w:tcW w:w="1056" w:type="dxa"/>
            <w:shd w:val="clear" w:color="auto" w:fill="auto"/>
            <w:noWrap/>
            <w:vAlign w:val="bottom"/>
          </w:tcPr>
          <w:p w:rsidR="00E728A2" w:rsidRPr="007F1538" w:rsidRDefault="00E728A2" w:rsidP="00E728A2">
            <w:pPr>
              <w:jc w:val="center"/>
              <w:rPr>
                <w:rFonts w:cs="Arial"/>
                <w:lang w:val="fr-FR" w:eastAsia="en-US"/>
              </w:rPr>
            </w:pPr>
            <w:r w:rsidRPr="007F1538">
              <w:rPr>
                <w:rFonts w:cs="Arial"/>
                <w:lang w:val="fr-FR" w:eastAsia="en-US"/>
              </w:rPr>
              <w:t>152</w:t>
            </w:r>
          </w:p>
        </w:tc>
      </w:tr>
      <w:tr w:rsidR="00E728A2" w:rsidRPr="007F1538" w:rsidTr="00873D90">
        <w:tc>
          <w:tcPr>
            <w:tcW w:w="4755" w:type="dxa"/>
            <w:shd w:val="clear" w:color="auto" w:fill="auto"/>
            <w:noWrap/>
            <w:vAlign w:val="bottom"/>
          </w:tcPr>
          <w:p w:rsidR="00E728A2" w:rsidRPr="007F1538" w:rsidRDefault="00873D90" w:rsidP="00690B4E">
            <w:pPr>
              <w:rPr>
                <w:rFonts w:cs="Arial"/>
                <w:i/>
                <w:iCs/>
                <w:lang w:val="fr-FR" w:eastAsia="en-US"/>
              </w:rPr>
            </w:pPr>
            <w:r w:rsidRPr="00873D90">
              <w:rPr>
                <w:rFonts w:cs="Arial"/>
                <w:i/>
                <w:iCs/>
                <w:lang w:val="fr-FR" w:eastAsia="en-US"/>
              </w:rPr>
              <w:t>Total</w:t>
            </w:r>
          </w:p>
        </w:tc>
        <w:tc>
          <w:tcPr>
            <w:tcW w:w="1295" w:type="dxa"/>
            <w:shd w:val="clear" w:color="auto" w:fill="auto"/>
            <w:noWrap/>
            <w:vAlign w:val="bottom"/>
          </w:tcPr>
          <w:p w:rsidR="00E728A2" w:rsidRPr="007F1538" w:rsidRDefault="00E728A2" w:rsidP="00E728A2">
            <w:pPr>
              <w:jc w:val="center"/>
              <w:rPr>
                <w:rFonts w:cs="Arial"/>
                <w:i/>
                <w:iCs/>
                <w:lang w:val="fr-FR" w:eastAsia="en-US"/>
              </w:rPr>
            </w:pPr>
            <w:r w:rsidRPr="007F1538">
              <w:rPr>
                <w:rFonts w:cs="Arial"/>
                <w:i/>
                <w:iCs/>
                <w:lang w:val="fr-FR" w:eastAsia="en-US"/>
              </w:rPr>
              <w:t>15</w:t>
            </w:r>
          </w:p>
        </w:tc>
        <w:tc>
          <w:tcPr>
            <w:tcW w:w="1340" w:type="dxa"/>
            <w:shd w:val="clear" w:color="auto" w:fill="auto"/>
            <w:noWrap/>
            <w:vAlign w:val="bottom"/>
          </w:tcPr>
          <w:p w:rsidR="00E728A2" w:rsidRPr="007F1538" w:rsidRDefault="001C2FF7" w:rsidP="00E728A2">
            <w:pPr>
              <w:jc w:val="center"/>
              <w:rPr>
                <w:rFonts w:cs="Arial"/>
                <w:lang w:val="fr-FR"/>
              </w:rPr>
            </w:pPr>
            <w:r w:rsidRPr="007F1538">
              <w:rPr>
                <w:rFonts w:cs="Arial"/>
                <w:lang w:val="fr-FR"/>
              </w:rPr>
              <w:t>21</w:t>
            </w:r>
            <w:r w:rsidR="00E728A2" w:rsidRPr="007F1538">
              <w:rPr>
                <w:rFonts w:cs="Arial"/>
                <w:lang w:val="fr-FR"/>
              </w:rPr>
              <w:t>,6%</w:t>
            </w:r>
          </w:p>
        </w:tc>
        <w:tc>
          <w:tcPr>
            <w:tcW w:w="1015" w:type="dxa"/>
            <w:shd w:val="clear" w:color="auto" w:fill="auto"/>
            <w:noWrap/>
            <w:vAlign w:val="bottom"/>
          </w:tcPr>
          <w:p w:rsidR="00E728A2" w:rsidRPr="007F1538" w:rsidRDefault="001C2FF7" w:rsidP="00E728A2">
            <w:pPr>
              <w:jc w:val="center"/>
              <w:rPr>
                <w:rFonts w:cs="Arial"/>
                <w:i/>
                <w:iCs/>
                <w:lang w:val="fr-FR"/>
              </w:rPr>
            </w:pPr>
            <w:r w:rsidRPr="007F1538">
              <w:rPr>
                <w:rFonts w:cs="Arial"/>
                <w:i/>
                <w:iCs/>
                <w:lang w:val="fr-FR"/>
              </w:rPr>
              <w:t>1.238</w:t>
            </w:r>
          </w:p>
        </w:tc>
        <w:tc>
          <w:tcPr>
            <w:tcW w:w="1056" w:type="dxa"/>
            <w:shd w:val="clear" w:color="auto" w:fill="auto"/>
            <w:noWrap/>
            <w:vAlign w:val="bottom"/>
          </w:tcPr>
          <w:p w:rsidR="00E728A2" w:rsidRPr="007F1538" w:rsidRDefault="00E728A2" w:rsidP="00E728A2">
            <w:pPr>
              <w:jc w:val="center"/>
              <w:rPr>
                <w:rFonts w:cs="Arial"/>
                <w:i/>
                <w:lang w:val="fr-FR" w:eastAsia="en-US"/>
              </w:rPr>
            </w:pPr>
            <w:r w:rsidRPr="007F1538">
              <w:rPr>
                <w:rFonts w:cs="Arial"/>
                <w:i/>
                <w:lang w:val="fr-FR" w:eastAsia="en-US"/>
              </w:rPr>
              <w:t>5.732</w:t>
            </w:r>
          </w:p>
        </w:tc>
      </w:tr>
      <w:tr w:rsidR="00E728A2" w:rsidRPr="007F1538" w:rsidTr="00873D90">
        <w:tc>
          <w:tcPr>
            <w:tcW w:w="4755" w:type="dxa"/>
            <w:shd w:val="clear" w:color="auto" w:fill="auto"/>
            <w:noWrap/>
            <w:vAlign w:val="bottom"/>
          </w:tcPr>
          <w:p w:rsidR="00E728A2" w:rsidRPr="007F1538" w:rsidRDefault="00873D90" w:rsidP="00690B4E">
            <w:pPr>
              <w:rPr>
                <w:rFonts w:cs="Arial"/>
                <w:i/>
                <w:iCs/>
                <w:lang w:val="fr-FR" w:eastAsia="en-US"/>
              </w:rPr>
            </w:pPr>
            <w:r w:rsidRPr="00873D90">
              <w:rPr>
                <w:rFonts w:cs="Arial"/>
                <w:i/>
                <w:iCs/>
                <w:lang w:val="fr-FR" w:eastAsia="en-US"/>
              </w:rPr>
              <w:t>Total sans les boulangers</w:t>
            </w:r>
          </w:p>
        </w:tc>
        <w:tc>
          <w:tcPr>
            <w:tcW w:w="1295" w:type="dxa"/>
            <w:shd w:val="clear" w:color="auto" w:fill="auto"/>
            <w:noWrap/>
            <w:vAlign w:val="bottom"/>
          </w:tcPr>
          <w:p w:rsidR="00E728A2" w:rsidRPr="007F1538" w:rsidRDefault="00E728A2" w:rsidP="00E728A2">
            <w:pPr>
              <w:jc w:val="center"/>
              <w:rPr>
                <w:rFonts w:cs="Arial"/>
                <w:i/>
                <w:iCs/>
                <w:lang w:val="fr-FR" w:eastAsia="en-US"/>
              </w:rPr>
            </w:pPr>
            <w:r w:rsidRPr="007F1538">
              <w:rPr>
                <w:rFonts w:cs="Arial"/>
                <w:i/>
                <w:iCs/>
                <w:lang w:val="fr-FR" w:eastAsia="en-US"/>
              </w:rPr>
              <w:t>36</w:t>
            </w:r>
          </w:p>
        </w:tc>
        <w:tc>
          <w:tcPr>
            <w:tcW w:w="1340" w:type="dxa"/>
            <w:shd w:val="clear" w:color="auto" w:fill="auto"/>
            <w:noWrap/>
            <w:vAlign w:val="bottom"/>
          </w:tcPr>
          <w:p w:rsidR="00E728A2" w:rsidRPr="007F1538" w:rsidRDefault="001C2FF7" w:rsidP="001C2FF7">
            <w:pPr>
              <w:jc w:val="center"/>
              <w:rPr>
                <w:rFonts w:cs="Arial"/>
                <w:lang w:val="fr-FR"/>
              </w:rPr>
            </w:pPr>
            <w:r w:rsidRPr="007F1538">
              <w:rPr>
                <w:rFonts w:cs="Arial"/>
                <w:lang w:val="fr-FR"/>
              </w:rPr>
              <w:t>31,1</w:t>
            </w:r>
            <w:r w:rsidR="00E728A2" w:rsidRPr="007F1538">
              <w:rPr>
                <w:rFonts w:cs="Arial"/>
                <w:lang w:val="fr-FR"/>
              </w:rPr>
              <w:t>%</w:t>
            </w:r>
          </w:p>
        </w:tc>
        <w:tc>
          <w:tcPr>
            <w:tcW w:w="1015" w:type="dxa"/>
            <w:shd w:val="clear" w:color="auto" w:fill="auto"/>
            <w:noWrap/>
            <w:vAlign w:val="bottom"/>
          </w:tcPr>
          <w:p w:rsidR="00E728A2" w:rsidRPr="007F1538" w:rsidRDefault="001C2FF7" w:rsidP="00E728A2">
            <w:pPr>
              <w:jc w:val="center"/>
              <w:rPr>
                <w:rFonts w:cs="Arial"/>
                <w:i/>
                <w:iCs/>
                <w:lang w:val="fr-FR"/>
              </w:rPr>
            </w:pPr>
            <w:r w:rsidRPr="007F1538">
              <w:rPr>
                <w:rFonts w:cs="Arial"/>
                <w:i/>
                <w:iCs/>
                <w:lang w:val="fr-FR"/>
              </w:rPr>
              <w:t>616</w:t>
            </w:r>
          </w:p>
        </w:tc>
        <w:tc>
          <w:tcPr>
            <w:tcW w:w="1056" w:type="dxa"/>
            <w:shd w:val="clear" w:color="auto" w:fill="auto"/>
            <w:noWrap/>
            <w:vAlign w:val="bottom"/>
          </w:tcPr>
          <w:p w:rsidR="00E728A2" w:rsidRPr="007F1538" w:rsidRDefault="00E728A2" w:rsidP="00E728A2">
            <w:pPr>
              <w:jc w:val="center"/>
              <w:rPr>
                <w:rFonts w:cs="Arial"/>
                <w:i/>
                <w:lang w:val="fr-FR" w:eastAsia="en-US"/>
              </w:rPr>
            </w:pPr>
            <w:r w:rsidRPr="007F1538">
              <w:rPr>
                <w:rFonts w:cs="Arial"/>
                <w:i/>
                <w:lang w:val="fr-FR" w:eastAsia="en-US"/>
              </w:rPr>
              <w:t>1.867</w:t>
            </w:r>
          </w:p>
        </w:tc>
      </w:tr>
    </w:tbl>
    <w:p w:rsidR="0012151C" w:rsidRPr="007F1538" w:rsidRDefault="0012151C" w:rsidP="00C51CE3">
      <w:pPr>
        <w:rPr>
          <w:lang w:val="fr-FR"/>
        </w:rPr>
      </w:pPr>
    </w:p>
    <w:p w:rsidR="00BB4137" w:rsidRPr="007F1538" w:rsidRDefault="00873D90" w:rsidP="00873D90">
      <w:pPr>
        <w:pStyle w:val="Heading3"/>
        <w:rPr>
          <w:lang w:val="fr-FR"/>
        </w:rPr>
      </w:pPr>
      <w:bookmarkStart w:id="39" w:name="_Toc267060124"/>
      <w:bookmarkStart w:id="40" w:name="_Toc269220678"/>
      <w:r w:rsidRPr="00873D90">
        <w:rPr>
          <w:lang w:val="fr-FR"/>
        </w:rPr>
        <w:t>La formation des intérimaires en hausse</w:t>
      </w:r>
      <w:bookmarkEnd w:id="39"/>
      <w:bookmarkEnd w:id="40"/>
    </w:p>
    <w:p w:rsidR="00BB4137" w:rsidRPr="007F1538" w:rsidRDefault="00873D90" w:rsidP="00DB68D8">
      <w:pPr>
        <w:rPr>
          <w:rFonts w:cs="Arial"/>
          <w:lang w:val="fr-FR" w:eastAsia="en-US"/>
        </w:rPr>
      </w:pPr>
      <w:r w:rsidRPr="00873D90">
        <w:rPr>
          <w:rFonts w:cs="Arial"/>
          <w:lang w:val="fr-FR" w:eastAsia="en-US"/>
        </w:rPr>
        <w:t>En 2008, un accord de collaboration est intervenu entre l’IFP et le FFI (Fonds de Formation pour les Intérimaires).</w:t>
      </w:r>
      <w:r w:rsidR="007C7A09" w:rsidRPr="007F1538">
        <w:rPr>
          <w:rFonts w:cs="Arial"/>
          <w:lang w:val="fr-FR" w:eastAsia="en-US"/>
        </w:rPr>
        <w:t xml:space="preserve"> </w:t>
      </w:r>
      <w:r w:rsidRPr="00873D90">
        <w:rPr>
          <w:rFonts w:cs="Arial"/>
          <w:lang w:val="fr-FR" w:eastAsia="en-US"/>
        </w:rPr>
        <w:t>Cet accord permet aux intérimaires actifs dans une entreprise alimentaire de suivre des formations via l’IFP.</w:t>
      </w:r>
      <w:r w:rsidR="00E852C1" w:rsidRPr="007F1538">
        <w:rPr>
          <w:rFonts w:cs="Arial"/>
          <w:lang w:val="fr-FR" w:eastAsia="en-US"/>
        </w:rPr>
        <w:t xml:space="preserve"> </w:t>
      </w:r>
      <w:r w:rsidRPr="00873D90">
        <w:rPr>
          <w:rFonts w:cs="Arial"/>
          <w:lang w:val="fr-FR" w:eastAsia="en-US"/>
        </w:rPr>
        <w:t>La collaboration est un franc succès.</w:t>
      </w:r>
      <w:r w:rsidR="00E852C1" w:rsidRPr="007F1538">
        <w:rPr>
          <w:rFonts w:cs="Arial"/>
          <w:lang w:val="fr-FR" w:eastAsia="en-US"/>
        </w:rPr>
        <w:t xml:space="preserve"> </w:t>
      </w:r>
      <w:r w:rsidRPr="00D30409">
        <w:rPr>
          <w:rFonts w:cs="Arial"/>
          <w:lang w:val="fr-FR" w:eastAsia="en-US"/>
        </w:rPr>
        <w:t>En comparaison avec l’année écou</w:t>
      </w:r>
      <w:r w:rsidR="00D30409" w:rsidRPr="00D30409">
        <w:rPr>
          <w:rFonts w:cs="Arial"/>
          <w:lang w:val="fr-FR" w:eastAsia="en-US"/>
        </w:rPr>
        <w:t>lée, le nombre de participants a augmenté de 51,</w:t>
      </w:r>
      <w:r w:rsidRPr="00D30409">
        <w:rPr>
          <w:rFonts w:cs="Arial"/>
          <w:lang w:val="fr-FR" w:eastAsia="en-US"/>
        </w:rPr>
        <w:t>6%.</w:t>
      </w:r>
      <w:r w:rsidR="00E852C1" w:rsidRPr="007F1538">
        <w:rPr>
          <w:rFonts w:cs="Arial"/>
          <w:lang w:val="fr-FR" w:eastAsia="en-US"/>
        </w:rPr>
        <w:t xml:space="preserve"> </w:t>
      </w:r>
      <w:r w:rsidRPr="00873D90">
        <w:rPr>
          <w:rFonts w:cs="Arial"/>
          <w:lang w:val="fr-FR" w:eastAsia="en-US"/>
        </w:rPr>
        <w:t>564 intérimaires ont suivi une formation.</w:t>
      </w:r>
      <w:r w:rsidR="00404C78" w:rsidRPr="007F1538">
        <w:rPr>
          <w:rFonts w:cs="Arial"/>
          <w:lang w:val="fr-FR" w:eastAsia="en-US"/>
        </w:rPr>
        <w:t xml:space="preserve"> </w:t>
      </w:r>
      <w:r w:rsidRPr="00983E86">
        <w:rPr>
          <w:rFonts w:cs="Arial"/>
          <w:lang w:val="fr-FR" w:eastAsia="en-US"/>
        </w:rPr>
        <w:t>Ce sont principalement les formations en sécurité et en qualité qui sont très prisées (72,7%), suivie</w:t>
      </w:r>
      <w:r w:rsidR="00983E86" w:rsidRPr="00983E86">
        <w:rPr>
          <w:rFonts w:cs="Arial"/>
          <w:lang w:val="fr-FR" w:eastAsia="en-US"/>
        </w:rPr>
        <w:t>s</w:t>
      </w:r>
      <w:r w:rsidRPr="00983E86">
        <w:rPr>
          <w:rFonts w:cs="Arial"/>
          <w:lang w:val="fr-FR" w:eastAsia="en-US"/>
        </w:rPr>
        <w:t xml:space="preserve"> par les formations en logistique (16,5%).</w:t>
      </w:r>
    </w:p>
    <w:p w:rsidR="007C7A09" w:rsidRPr="007F1538" w:rsidRDefault="007C7A09" w:rsidP="00DB68D8">
      <w:pPr>
        <w:rPr>
          <w:rFonts w:cs="Arial"/>
          <w:szCs w:val="24"/>
          <w:lang w:val="fr-FR" w:eastAsia="en-US"/>
        </w:rPr>
      </w:pPr>
    </w:p>
    <w:p w:rsidR="0012151C" w:rsidRPr="007F1538" w:rsidRDefault="0012151C" w:rsidP="00DB68D8">
      <w:pPr>
        <w:rPr>
          <w:rFonts w:cs="Arial"/>
          <w:lang w:val="fr-FR" w:eastAsia="en-US"/>
        </w:rPr>
      </w:pPr>
    </w:p>
    <w:p w:rsidR="00D85A58" w:rsidRPr="007F1538" w:rsidRDefault="007A50E0" w:rsidP="00DB68D8">
      <w:pPr>
        <w:rPr>
          <w:rFonts w:cs="Arial"/>
          <w:lang w:val="fr-FR" w:eastAsia="en-US"/>
        </w:rPr>
      </w:pPr>
      <w:r>
        <w:rPr>
          <w:rFonts w:cs="Arial"/>
          <w:lang w:val="fr-FR" w:eastAsia="en-US"/>
        </w:rPr>
        <w:t>Tableau 10</w:t>
      </w:r>
      <w:r w:rsidR="00873D90" w:rsidRPr="00873D90">
        <w:rPr>
          <w:rFonts w:cs="Arial"/>
          <w:lang w:val="fr-FR" w:eastAsia="en-US"/>
        </w:rPr>
        <w:t> : portée intérimaires dans les entreprises alimentaires en fonction du statut et selon la rubrique de formation</w:t>
      </w:r>
    </w:p>
    <w:tbl>
      <w:tblPr>
        <w:tblW w:w="9096" w:type="dxa"/>
        <w:tblInd w:w="98" w:type="dxa"/>
        <w:tblLook w:val="0000"/>
      </w:tblPr>
      <w:tblGrid>
        <w:gridCol w:w="2473"/>
        <w:gridCol w:w="1072"/>
        <w:gridCol w:w="1072"/>
        <w:gridCol w:w="1173"/>
        <w:gridCol w:w="1173"/>
        <w:gridCol w:w="1173"/>
        <w:gridCol w:w="960"/>
      </w:tblGrid>
      <w:tr w:rsidR="00E852C1" w:rsidRPr="007F1538" w:rsidTr="00873D90">
        <w:tc>
          <w:tcPr>
            <w:tcW w:w="2473" w:type="dxa"/>
            <w:tcBorders>
              <w:top w:val="single" w:sz="8" w:space="0" w:color="auto"/>
              <w:left w:val="single" w:sz="8" w:space="0" w:color="auto"/>
              <w:bottom w:val="single" w:sz="8" w:space="0" w:color="auto"/>
              <w:right w:val="single" w:sz="8" w:space="0" w:color="auto"/>
            </w:tcBorders>
            <w:shd w:val="clear" w:color="auto" w:fill="auto"/>
            <w:vAlign w:val="bottom"/>
          </w:tcPr>
          <w:p w:rsidR="00E852C1" w:rsidRPr="007F1538" w:rsidRDefault="00873D90" w:rsidP="0012151C">
            <w:pPr>
              <w:rPr>
                <w:rFonts w:cs="Arial"/>
                <w:lang w:val="fr-FR" w:eastAsia="en-US"/>
              </w:rPr>
            </w:pPr>
            <w:r w:rsidRPr="00873D90">
              <w:rPr>
                <w:rFonts w:cs="Arial"/>
                <w:lang w:val="fr-FR" w:eastAsia="en-US"/>
              </w:rPr>
              <w:t>Rubrique formation</w:t>
            </w:r>
          </w:p>
          <w:p w:rsidR="00E852C1" w:rsidRPr="007F1538" w:rsidRDefault="00E852C1" w:rsidP="0012151C">
            <w:pPr>
              <w:rPr>
                <w:rFonts w:cs="Arial"/>
                <w:lang w:val="fr-FR" w:eastAsia="en-US"/>
              </w:rPr>
            </w:pPr>
          </w:p>
        </w:tc>
        <w:tc>
          <w:tcPr>
            <w:tcW w:w="2144" w:type="dxa"/>
            <w:gridSpan w:val="2"/>
            <w:tcBorders>
              <w:top w:val="single" w:sz="8" w:space="0" w:color="auto"/>
              <w:left w:val="nil"/>
              <w:bottom w:val="single" w:sz="8" w:space="0" w:color="auto"/>
              <w:right w:val="nil"/>
            </w:tcBorders>
          </w:tcPr>
          <w:p w:rsidR="00E852C1" w:rsidRPr="007F1538" w:rsidRDefault="00873D90" w:rsidP="00690B4E">
            <w:pPr>
              <w:jc w:val="center"/>
              <w:rPr>
                <w:rFonts w:cs="Arial"/>
                <w:lang w:val="fr-FR" w:eastAsia="en-US"/>
              </w:rPr>
            </w:pPr>
            <w:r w:rsidRPr="00873D90">
              <w:rPr>
                <w:rFonts w:cs="Arial"/>
                <w:lang w:val="fr-FR" w:eastAsia="en-US"/>
              </w:rPr>
              <w:t>Ouvriers</w:t>
            </w:r>
          </w:p>
        </w:tc>
        <w:tc>
          <w:tcPr>
            <w:tcW w:w="2346" w:type="dxa"/>
            <w:gridSpan w:val="2"/>
            <w:tcBorders>
              <w:top w:val="single" w:sz="8" w:space="0" w:color="auto"/>
              <w:left w:val="single" w:sz="8" w:space="0" w:color="auto"/>
              <w:bottom w:val="single" w:sz="8" w:space="0" w:color="auto"/>
              <w:right w:val="single" w:sz="8" w:space="0" w:color="auto"/>
            </w:tcBorders>
          </w:tcPr>
          <w:p w:rsidR="00E852C1" w:rsidRPr="007F1538" w:rsidRDefault="00873D90" w:rsidP="00690B4E">
            <w:pPr>
              <w:jc w:val="center"/>
              <w:rPr>
                <w:rFonts w:cs="Arial"/>
                <w:lang w:val="fr-FR" w:eastAsia="en-US"/>
              </w:rPr>
            </w:pPr>
            <w:r w:rsidRPr="00873D90">
              <w:rPr>
                <w:rFonts w:cs="Arial"/>
                <w:lang w:val="fr-FR" w:eastAsia="en-US"/>
              </w:rPr>
              <w:t>Employés</w:t>
            </w:r>
          </w:p>
        </w:tc>
        <w:tc>
          <w:tcPr>
            <w:tcW w:w="2133" w:type="dxa"/>
            <w:gridSpan w:val="2"/>
            <w:tcBorders>
              <w:top w:val="single" w:sz="8" w:space="0" w:color="auto"/>
              <w:left w:val="nil"/>
              <w:bottom w:val="single" w:sz="8" w:space="0" w:color="auto"/>
              <w:right w:val="single" w:sz="8" w:space="0" w:color="auto"/>
            </w:tcBorders>
            <w:shd w:val="clear" w:color="auto" w:fill="auto"/>
            <w:noWrap/>
            <w:vAlign w:val="bottom"/>
          </w:tcPr>
          <w:p w:rsidR="00E852C1" w:rsidRPr="007F1538" w:rsidRDefault="00873D90" w:rsidP="00E852C1">
            <w:pPr>
              <w:jc w:val="center"/>
              <w:rPr>
                <w:rFonts w:cs="Arial"/>
                <w:i/>
                <w:lang w:val="fr-FR" w:eastAsia="en-US"/>
              </w:rPr>
            </w:pPr>
            <w:r w:rsidRPr="00873D90">
              <w:rPr>
                <w:rFonts w:cs="Arial"/>
                <w:i/>
                <w:lang w:val="fr-FR" w:eastAsia="en-US"/>
              </w:rPr>
              <w:t>Total</w:t>
            </w:r>
          </w:p>
          <w:p w:rsidR="00E852C1" w:rsidRPr="007F1538" w:rsidRDefault="00E852C1" w:rsidP="00E852C1">
            <w:pPr>
              <w:jc w:val="center"/>
              <w:rPr>
                <w:rFonts w:cs="Arial"/>
                <w:i/>
                <w:lang w:val="fr-FR" w:eastAsia="en-US"/>
              </w:rPr>
            </w:pP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E852C1" w:rsidP="0012151C">
            <w:pPr>
              <w:rPr>
                <w:rFonts w:cs="Arial"/>
                <w:lang w:val="fr-FR" w:eastAsia="en-US"/>
              </w:rPr>
            </w:pPr>
          </w:p>
        </w:tc>
        <w:tc>
          <w:tcPr>
            <w:tcW w:w="1072"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2008</w:t>
            </w:r>
          </w:p>
        </w:tc>
        <w:tc>
          <w:tcPr>
            <w:tcW w:w="1072" w:type="dxa"/>
            <w:tcBorders>
              <w:top w:val="nil"/>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2009</w:t>
            </w:r>
          </w:p>
          <w:p w:rsidR="00E852C1" w:rsidRPr="007F1538" w:rsidRDefault="00E852C1" w:rsidP="0012151C">
            <w:pPr>
              <w:jc w:val="center"/>
              <w:rPr>
                <w:rFonts w:cs="Arial"/>
                <w:lang w:val="fr-FR" w:eastAsia="en-US"/>
              </w:rPr>
            </w:pPr>
          </w:p>
        </w:tc>
        <w:tc>
          <w:tcPr>
            <w:tcW w:w="1173"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2008</w:t>
            </w:r>
          </w:p>
          <w:p w:rsidR="00E852C1" w:rsidRPr="007F1538" w:rsidRDefault="00E852C1" w:rsidP="0012151C">
            <w:pPr>
              <w:jc w:val="center"/>
              <w:rPr>
                <w:rFonts w:cs="Arial"/>
                <w:lang w:val="fr-FR" w:eastAsia="en-US"/>
              </w:rPr>
            </w:pPr>
          </w:p>
        </w:tc>
        <w:tc>
          <w:tcPr>
            <w:tcW w:w="1173" w:type="dxa"/>
            <w:tcBorders>
              <w:top w:val="nil"/>
              <w:left w:val="single" w:sz="4" w:space="0" w:color="auto"/>
              <w:bottom w:val="single" w:sz="8" w:space="0" w:color="auto"/>
              <w:right w:val="single" w:sz="4" w:space="0" w:color="auto"/>
            </w:tcBorders>
          </w:tcPr>
          <w:p w:rsidR="00E852C1" w:rsidRPr="007F1538" w:rsidRDefault="00E852C1" w:rsidP="00E852C1">
            <w:pPr>
              <w:jc w:val="center"/>
              <w:rPr>
                <w:rFonts w:cs="Arial"/>
                <w:i/>
                <w:lang w:val="fr-FR" w:eastAsia="en-US"/>
              </w:rPr>
            </w:pPr>
            <w:r w:rsidRPr="007F1538">
              <w:rPr>
                <w:rFonts w:cs="Arial"/>
                <w:i/>
                <w:lang w:val="fr-FR" w:eastAsia="en-US"/>
              </w:rPr>
              <w:t>2009</w:t>
            </w:r>
          </w:p>
          <w:p w:rsidR="00E852C1" w:rsidRPr="007F1538" w:rsidRDefault="00E852C1" w:rsidP="00E852C1">
            <w:pPr>
              <w:jc w:val="center"/>
              <w:rPr>
                <w:rFonts w:cs="Arial"/>
                <w:i/>
                <w:lang w:val="fr-FR" w:eastAsia="en-US"/>
              </w:rPr>
            </w:pPr>
          </w:p>
        </w:tc>
        <w:tc>
          <w:tcPr>
            <w:tcW w:w="1173" w:type="dxa"/>
            <w:tcBorders>
              <w:top w:val="nil"/>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2008</w:t>
            </w:r>
          </w:p>
          <w:p w:rsidR="00E852C1" w:rsidRPr="007F1538" w:rsidRDefault="00E852C1" w:rsidP="0012151C">
            <w:pPr>
              <w:jc w:val="center"/>
              <w:rPr>
                <w:rFonts w:cs="Arial"/>
                <w:lang w:val="fr-FR" w:eastAsia="en-US"/>
              </w:rPr>
            </w:pPr>
          </w:p>
        </w:tc>
        <w:tc>
          <w:tcPr>
            <w:tcW w:w="960" w:type="dxa"/>
            <w:tcBorders>
              <w:top w:val="single" w:sz="8" w:space="0" w:color="auto"/>
              <w:left w:val="nil"/>
              <w:bottom w:val="single" w:sz="4" w:space="0" w:color="auto"/>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2009</w:t>
            </w:r>
          </w:p>
          <w:p w:rsidR="00E852C1" w:rsidRPr="007F1538" w:rsidRDefault="00E852C1" w:rsidP="0012151C">
            <w:pPr>
              <w:jc w:val="center"/>
              <w:rPr>
                <w:rFonts w:cs="Arial"/>
                <w:i/>
                <w:lang w:val="fr-FR" w:eastAsia="en-US"/>
              </w:rPr>
            </w:pP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Compétences commerciales</w:t>
            </w:r>
          </w:p>
        </w:tc>
        <w:tc>
          <w:tcPr>
            <w:tcW w:w="1072" w:type="dxa"/>
            <w:tcBorders>
              <w:top w:val="nil"/>
              <w:left w:val="nil"/>
              <w:bottom w:val="single" w:sz="8" w:space="0" w:color="auto"/>
              <w:right w:val="single" w:sz="4" w:space="0" w:color="auto"/>
            </w:tcBorders>
          </w:tcPr>
          <w:p w:rsidR="00E852C1" w:rsidRPr="007F1538" w:rsidRDefault="00E852C1" w:rsidP="00E852C1">
            <w:pPr>
              <w:jc w:val="center"/>
              <w:rPr>
                <w:rFonts w:cs="Arial"/>
                <w:lang w:val="fr-FR" w:eastAsia="en-US"/>
              </w:rPr>
            </w:pPr>
            <w:r w:rsidRPr="007F1538">
              <w:rPr>
                <w:rFonts w:cs="Arial"/>
                <w:lang w:val="fr-FR" w:eastAsia="en-US"/>
              </w:rPr>
              <w:t>0</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E852C1">
            <w:pPr>
              <w:jc w:val="center"/>
              <w:rPr>
                <w:rFonts w:cs="Arial"/>
                <w:lang w:val="fr-FR" w:eastAsia="en-US"/>
              </w:rPr>
            </w:pPr>
            <w:r w:rsidRPr="007F1538">
              <w:rPr>
                <w:rFonts w:cs="Arial"/>
                <w:lang w:val="fr-FR" w:eastAsia="en-US"/>
              </w:rPr>
              <w:t>0</w:t>
            </w:r>
          </w:p>
        </w:tc>
        <w:tc>
          <w:tcPr>
            <w:tcW w:w="1173" w:type="dxa"/>
            <w:tcBorders>
              <w:top w:val="nil"/>
              <w:left w:val="nil"/>
              <w:bottom w:val="single" w:sz="8" w:space="0" w:color="auto"/>
              <w:right w:val="single" w:sz="4" w:space="0" w:color="auto"/>
            </w:tcBorders>
          </w:tcPr>
          <w:p w:rsidR="00E852C1" w:rsidRPr="007F1538" w:rsidRDefault="00E852C1" w:rsidP="00E852C1">
            <w:pPr>
              <w:jc w:val="center"/>
              <w:rPr>
                <w:rFonts w:cs="Arial"/>
                <w:lang w:val="fr-FR" w:eastAsia="en-US"/>
              </w:rPr>
            </w:pPr>
            <w:r w:rsidRPr="007F1538">
              <w:rPr>
                <w:rFonts w:cs="Arial"/>
                <w:lang w:val="fr-FR" w:eastAsia="en-US"/>
              </w:rPr>
              <w:t>0</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1</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E852C1">
            <w:pPr>
              <w:jc w:val="center"/>
              <w:rPr>
                <w:rFonts w:cs="Arial"/>
                <w:lang w:val="fr-FR" w:eastAsia="en-US"/>
              </w:rPr>
            </w:pPr>
            <w:r w:rsidRPr="007F1538">
              <w:rPr>
                <w:rFonts w:cs="Arial"/>
                <w:lang w:val="fr-FR" w:eastAsia="en-US"/>
              </w:rPr>
              <w:t>0</w:t>
            </w:r>
          </w:p>
        </w:tc>
        <w:tc>
          <w:tcPr>
            <w:tcW w:w="960" w:type="dxa"/>
            <w:tcBorders>
              <w:top w:val="single" w:sz="8" w:space="0" w:color="auto"/>
              <w:left w:val="nil"/>
              <w:bottom w:val="single" w:sz="4" w:space="0" w:color="auto"/>
              <w:right w:val="single" w:sz="8" w:space="0" w:color="auto"/>
            </w:tcBorders>
            <w:shd w:val="clear" w:color="auto" w:fill="auto"/>
            <w:noWrap/>
            <w:vAlign w:val="bottom"/>
          </w:tcPr>
          <w:p w:rsidR="00E852C1" w:rsidRPr="007F1538" w:rsidRDefault="00E852C1" w:rsidP="00E852C1">
            <w:pPr>
              <w:jc w:val="center"/>
              <w:rPr>
                <w:rFonts w:cs="Arial"/>
                <w:i/>
                <w:lang w:val="fr-FR" w:eastAsia="en-US"/>
              </w:rPr>
            </w:pPr>
            <w:r w:rsidRPr="007F1538">
              <w:rPr>
                <w:rFonts w:cs="Arial"/>
                <w:i/>
                <w:lang w:val="fr-FR" w:eastAsia="en-US"/>
              </w:rPr>
              <w:t>1</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Communication</w:t>
            </w:r>
          </w:p>
        </w:tc>
        <w:tc>
          <w:tcPr>
            <w:tcW w:w="1072"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3</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4</w:t>
            </w:r>
          </w:p>
        </w:tc>
        <w:tc>
          <w:tcPr>
            <w:tcW w:w="1173"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1</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2</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4</w:t>
            </w:r>
          </w:p>
        </w:tc>
        <w:tc>
          <w:tcPr>
            <w:tcW w:w="960" w:type="dxa"/>
            <w:tcBorders>
              <w:top w:val="single" w:sz="4" w:space="0" w:color="auto"/>
              <w:left w:val="nil"/>
              <w:bottom w:val="nil"/>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6</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Informatique</w:t>
            </w:r>
          </w:p>
        </w:tc>
        <w:tc>
          <w:tcPr>
            <w:tcW w:w="1072"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1</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1</w:t>
            </w:r>
          </w:p>
        </w:tc>
        <w:tc>
          <w:tcPr>
            <w:tcW w:w="1173"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7</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12</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8</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E852C1" w:rsidRPr="007F1538" w:rsidRDefault="00E852C1" w:rsidP="00250F60">
            <w:pPr>
              <w:jc w:val="center"/>
              <w:rPr>
                <w:rFonts w:cs="Arial"/>
                <w:i/>
                <w:lang w:val="fr-FR" w:eastAsia="en-US"/>
              </w:rPr>
            </w:pPr>
            <w:r w:rsidRPr="007F1538">
              <w:rPr>
                <w:rFonts w:cs="Arial"/>
                <w:i/>
                <w:lang w:val="fr-FR" w:eastAsia="en-US"/>
              </w:rPr>
              <w:t>13</w:t>
            </w:r>
          </w:p>
        </w:tc>
      </w:tr>
      <w:tr w:rsidR="00E852C1" w:rsidRPr="007F1538" w:rsidTr="00873D90">
        <w:tc>
          <w:tcPr>
            <w:tcW w:w="2473" w:type="dxa"/>
            <w:tcBorders>
              <w:top w:val="nil"/>
              <w:left w:val="single" w:sz="8" w:space="0" w:color="auto"/>
              <w:bottom w:val="single" w:sz="4"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Gestion de l'apprentissage et des compétences</w:t>
            </w:r>
          </w:p>
        </w:tc>
        <w:tc>
          <w:tcPr>
            <w:tcW w:w="1072" w:type="dxa"/>
            <w:tcBorders>
              <w:top w:val="nil"/>
              <w:left w:val="nil"/>
              <w:bottom w:val="single" w:sz="4"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0</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0</w:t>
            </w:r>
          </w:p>
        </w:tc>
        <w:tc>
          <w:tcPr>
            <w:tcW w:w="1173" w:type="dxa"/>
            <w:tcBorders>
              <w:top w:val="nil"/>
              <w:left w:val="nil"/>
              <w:bottom w:val="single" w:sz="4"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0</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1</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0</w:t>
            </w:r>
          </w:p>
        </w:tc>
        <w:tc>
          <w:tcPr>
            <w:tcW w:w="960" w:type="dxa"/>
            <w:tcBorders>
              <w:top w:val="single" w:sz="8" w:space="0" w:color="auto"/>
              <w:left w:val="nil"/>
              <w:bottom w:val="single" w:sz="4" w:space="0" w:color="auto"/>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1</w:t>
            </w:r>
          </w:p>
        </w:tc>
      </w:tr>
      <w:tr w:rsidR="00E852C1" w:rsidRPr="007F1538" w:rsidTr="00873D90">
        <w:tc>
          <w:tcPr>
            <w:tcW w:w="2473" w:type="dxa"/>
            <w:tcBorders>
              <w:top w:val="single" w:sz="4" w:space="0" w:color="auto"/>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Logistique</w:t>
            </w:r>
          </w:p>
        </w:tc>
        <w:tc>
          <w:tcPr>
            <w:tcW w:w="1072" w:type="dxa"/>
            <w:tcBorders>
              <w:top w:val="single" w:sz="4" w:space="0" w:color="auto"/>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87</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92</w:t>
            </w:r>
          </w:p>
        </w:tc>
        <w:tc>
          <w:tcPr>
            <w:tcW w:w="1173" w:type="dxa"/>
            <w:tcBorders>
              <w:top w:val="single" w:sz="4" w:space="0" w:color="auto"/>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1</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1</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88</w:t>
            </w:r>
          </w:p>
        </w:tc>
        <w:tc>
          <w:tcPr>
            <w:tcW w:w="960" w:type="dxa"/>
            <w:tcBorders>
              <w:top w:val="single" w:sz="4" w:space="0" w:color="auto"/>
              <w:left w:val="nil"/>
              <w:bottom w:val="nil"/>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93</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Langues</w:t>
            </w:r>
          </w:p>
        </w:tc>
        <w:tc>
          <w:tcPr>
            <w:tcW w:w="1072"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70</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4</w:t>
            </w:r>
          </w:p>
        </w:tc>
        <w:tc>
          <w:tcPr>
            <w:tcW w:w="1173"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3</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0</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73</w:t>
            </w:r>
          </w:p>
        </w:tc>
        <w:tc>
          <w:tcPr>
            <w:tcW w:w="960" w:type="dxa"/>
            <w:tcBorders>
              <w:top w:val="single" w:sz="8" w:space="0" w:color="auto"/>
              <w:left w:val="nil"/>
              <w:bottom w:val="nil"/>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4</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Technique et entretien</w:t>
            </w:r>
          </w:p>
        </w:tc>
        <w:tc>
          <w:tcPr>
            <w:tcW w:w="1072"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7</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13</w:t>
            </w:r>
          </w:p>
        </w:tc>
        <w:tc>
          <w:tcPr>
            <w:tcW w:w="1173"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3</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0</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10</w:t>
            </w:r>
          </w:p>
        </w:tc>
        <w:tc>
          <w:tcPr>
            <w:tcW w:w="960" w:type="dxa"/>
            <w:tcBorders>
              <w:top w:val="single" w:sz="8" w:space="0" w:color="auto"/>
              <w:left w:val="nil"/>
              <w:bottom w:val="nil"/>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13</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Sécurité &amp; qualité</w:t>
            </w:r>
          </w:p>
        </w:tc>
        <w:tc>
          <w:tcPr>
            <w:tcW w:w="1072"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151</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404C78" w:rsidP="0012151C">
            <w:pPr>
              <w:jc w:val="center"/>
              <w:rPr>
                <w:rFonts w:cs="Arial"/>
                <w:lang w:val="fr-FR" w:eastAsia="en-US"/>
              </w:rPr>
            </w:pPr>
            <w:r w:rsidRPr="007F1538">
              <w:rPr>
                <w:rFonts w:cs="Arial"/>
                <w:lang w:val="fr-FR" w:eastAsia="en-US"/>
              </w:rPr>
              <w:t>364</w:t>
            </w:r>
          </w:p>
        </w:tc>
        <w:tc>
          <w:tcPr>
            <w:tcW w:w="1173" w:type="dxa"/>
            <w:tcBorders>
              <w:top w:val="nil"/>
              <w:left w:val="nil"/>
              <w:bottom w:val="single" w:sz="8" w:space="0" w:color="auto"/>
              <w:right w:val="single" w:sz="4" w:space="0" w:color="auto"/>
            </w:tcBorders>
          </w:tcPr>
          <w:p w:rsidR="00E852C1" w:rsidRPr="007F1538" w:rsidRDefault="00E852C1" w:rsidP="0012151C">
            <w:pPr>
              <w:jc w:val="center"/>
              <w:rPr>
                <w:rFonts w:cs="Arial"/>
                <w:lang w:val="fr-FR" w:eastAsia="en-US"/>
              </w:rPr>
            </w:pPr>
            <w:r w:rsidRPr="007F1538">
              <w:rPr>
                <w:rFonts w:cs="Arial"/>
                <w:lang w:val="fr-FR" w:eastAsia="en-US"/>
              </w:rPr>
              <w:t>27</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404C78" w:rsidP="00E852C1">
            <w:pPr>
              <w:jc w:val="center"/>
              <w:rPr>
                <w:rFonts w:cs="Arial"/>
                <w:lang w:val="fr-FR" w:eastAsia="en-US"/>
              </w:rPr>
            </w:pPr>
            <w:r w:rsidRPr="007F1538">
              <w:rPr>
                <w:rFonts w:cs="Arial"/>
                <w:lang w:val="fr-FR" w:eastAsia="en-US"/>
              </w:rPr>
              <w:t>46</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178</w:t>
            </w:r>
          </w:p>
        </w:tc>
        <w:tc>
          <w:tcPr>
            <w:tcW w:w="960" w:type="dxa"/>
            <w:tcBorders>
              <w:top w:val="single" w:sz="8" w:space="0" w:color="auto"/>
              <w:left w:val="nil"/>
              <w:bottom w:val="nil"/>
              <w:right w:val="single" w:sz="8" w:space="0" w:color="auto"/>
            </w:tcBorders>
            <w:shd w:val="clear" w:color="auto" w:fill="auto"/>
            <w:noWrap/>
            <w:vAlign w:val="bottom"/>
          </w:tcPr>
          <w:p w:rsidR="00E852C1" w:rsidRPr="007F1538" w:rsidRDefault="00404C78" w:rsidP="0012151C">
            <w:pPr>
              <w:jc w:val="center"/>
              <w:rPr>
                <w:rFonts w:cs="Arial"/>
                <w:i/>
                <w:lang w:val="fr-FR" w:eastAsia="en-US"/>
              </w:rPr>
            </w:pPr>
            <w:r w:rsidRPr="007F1538">
              <w:rPr>
                <w:rFonts w:cs="Arial"/>
                <w:i/>
                <w:lang w:val="fr-FR" w:eastAsia="en-US"/>
              </w:rPr>
              <w:t>410</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lang w:val="fr-FR" w:eastAsia="en-US"/>
              </w:rPr>
            </w:pPr>
            <w:r w:rsidRPr="00873D90">
              <w:rPr>
                <w:rFonts w:cs="Arial"/>
                <w:lang w:val="fr-FR" w:eastAsia="en-US"/>
              </w:rPr>
              <w:t>Formations spécifiques au secteur de l’alimentation</w:t>
            </w:r>
          </w:p>
        </w:tc>
        <w:tc>
          <w:tcPr>
            <w:tcW w:w="1072" w:type="dxa"/>
            <w:tcBorders>
              <w:top w:val="nil"/>
              <w:left w:val="nil"/>
              <w:bottom w:val="single" w:sz="8" w:space="0" w:color="auto"/>
              <w:right w:val="single" w:sz="4" w:space="0" w:color="auto"/>
            </w:tcBorders>
          </w:tcPr>
          <w:p w:rsidR="00E852C1" w:rsidRPr="007F1538" w:rsidRDefault="00404C78" w:rsidP="0012151C">
            <w:pPr>
              <w:jc w:val="center"/>
              <w:rPr>
                <w:rFonts w:cs="Arial"/>
                <w:lang w:val="fr-FR" w:eastAsia="en-US"/>
              </w:rPr>
            </w:pPr>
            <w:r w:rsidRPr="007F1538">
              <w:rPr>
                <w:rFonts w:cs="Arial"/>
                <w:lang w:val="fr-FR" w:eastAsia="en-US"/>
              </w:rPr>
              <w:t>10</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lang w:val="fr-FR" w:eastAsia="en-US"/>
              </w:rPr>
            </w:pPr>
            <w:r w:rsidRPr="007F1538">
              <w:rPr>
                <w:rFonts w:cs="Arial"/>
                <w:lang w:val="fr-FR" w:eastAsia="en-US"/>
              </w:rPr>
              <w:t>24</w:t>
            </w:r>
          </w:p>
        </w:tc>
        <w:tc>
          <w:tcPr>
            <w:tcW w:w="1173" w:type="dxa"/>
            <w:tcBorders>
              <w:top w:val="nil"/>
              <w:left w:val="nil"/>
              <w:bottom w:val="single" w:sz="8" w:space="0" w:color="auto"/>
              <w:right w:val="single" w:sz="4" w:space="0" w:color="auto"/>
            </w:tcBorders>
          </w:tcPr>
          <w:p w:rsidR="00E852C1" w:rsidRPr="007F1538" w:rsidRDefault="00404C78" w:rsidP="0012151C">
            <w:pPr>
              <w:jc w:val="center"/>
              <w:rPr>
                <w:rFonts w:cs="Arial"/>
                <w:lang w:val="fr-FR" w:eastAsia="en-US"/>
              </w:rPr>
            </w:pPr>
            <w:r w:rsidRPr="007F1538">
              <w:rPr>
                <w:rFonts w:cs="Arial"/>
                <w:lang w:val="fr-FR" w:eastAsia="en-US"/>
              </w:rPr>
              <w:t>0</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lang w:val="fr-FR" w:eastAsia="en-US"/>
              </w:rPr>
            </w:pPr>
            <w:r w:rsidRPr="007F1538">
              <w:rPr>
                <w:rFonts w:cs="Arial"/>
                <w:lang w:val="fr-FR" w:eastAsia="en-US"/>
              </w:rPr>
              <w:t> 0</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404C78" w:rsidP="0012151C">
            <w:pPr>
              <w:jc w:val="center"/>
              <w:rPr>
                <w:rFonts w:cs="Arial"/>
                <w:lang w:val="fr-FR" w:eastAsia="en-US"/>
              </w:rPr>
            </w:pPr>
            <w:r w:rsidRPr="007F1538">
              <w:rPr>
                <w:rFonts w:cs="Arial"/>
                <w:lang w:val="fr-FR" w:eastAsia="en-US"/>
              </w:rPr>
              <w:t>10</w:t>
            </w:r>
          </w:p>
        </w:tc>
        <w:tc>
          <w:tcPr>
            <w:tcW w:w="960" w:type="dxa"/>
            <w:tcBorders>
              <w:top w:val="single" w:sz="8" w:space="0" w:color="auto"/>
              <w:left w:val="nil"/>
              <w:bottom w:val="nil"/>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24</w:t>
            </w:r>
          </w:p>
        </w:tc>
      </w:tr>
      <w:tr w:rsidR="00E852C1" w:rsidRPr="007F1538" w:rsidTr="00873D90">
        <w:tc>
          <w:tcPr>
            <w:tcW w:w="2473" w:type="dxa"/>
            <w:tcBorders>
              <w:top w:val="nil"/>
              <w:left w:val="single" w:sz="8" w:space="0" w:color="auto"/>
              <w:bottom w:val="single" w:sz="8" w:space="0" w:color="auto"/>
              <w:right w:val="single" w:sz="8" w:space="0" w:color="auto"/>
            </w:tcBorders>
            <w:shd w:val="clear" w:color="auto" w:fill="auto"/>
            <w:vAlign w:val="bottom"/>
          </w:tcPr>
          <w:p w:rsidR="00E852C1" w:rsidRPr="007F1538" w:rsidRDefault="00873D90" w:rsidP="00690B4E">
            <w:pPr>
              <w:rPr>
                <w:rFonts w:cs="Arial"/>
                <w:i/>
                <w:lang w:val="fr-FR" w:eastAsia="en-US"/>
              </w:rPr>
            </w:pPr>
            <w:r w:rsidRPr="00873D90">
              <w:rPr>
                <w:rFonts w:cs="Arial"/>
                <w:i/>
                <w:lang w:val="fr-FR" w:eastAsia="en-US"/>
              </w:rPr>
              <w:t>Total </w:t>
            </w:r>
          </w:p>
        </w:tc>
        <w:tc>
          <w:tcPr>
            <w:tcW w:w="1072" w:type="dxa"/>
            <w:tcBorders>
              <w:top w:val="nil"/>
              <w:left w:val="nil"/>
              <w:bottom w:val="single" w:sz="8" w:space="0" w:color="auto"/>
              <w:right w:val="single" w:sz="4" w:space="0" w:color="auto"/>
            </w:tcBorders>
          </w:tcPr>
          <w:p w:rsidR="00E852C1" w:rsidRPr="007F1538" w:rsidRDefault="00404C78" w:rsidP="0012151C">
            <w:pPr>
              <w:jc w:val="center"/>
              <w:rPr>
                <w:rFonts w:cs="Arial"/>
                <w:i/>
                <w:lang w:val="fr-FR" w:eastAsia="en-US"/>
              </w:rPr>
            </w:pPr>
            <w:r w:rsidRPr="007F1538">
              <w:rPr>
                <w:rFonts w:cs="Arial"/>
                <w:i/>
                <w:lang w:val="fr-FR" w:eastAsia="en-US"/>
              </w:rPr>
              <w:t>329</w:t>
            </w:r>
          </w:p>
        </w:tc>
        <w:tc>
          <w:tcPr>
            <w:tcW w:w="1072"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502</w:t>
            </w:r>
          </w:p>
        </w:tc>
        <w:tc>
          <w:tcPr>
            <w:tcW w:w="1173" w:type="dxa"/>
            <w:tcBorders>
              <w:top w:val="nil"/>
              <w:left w:val="nil"/>
              <w:bottom w:val="single" w:sz="8" w:space="0" w:color="auto"/>
              <w:right w:val="single" w:sz="4" w:space="0" w:color="auto"/>
            </w:tcBorders>
          </w:tcPr>
          <w:p w:rsidR="00E852C1" w:rsidRPr="007F1538" w:rsidRDefault="00404C78" w:rsidP="0012151C">
            <w:pPr>
              <w:jc w:val="center"/>
              <w:rPr>
                <w:rFonts w:cs="Arial"/>
                <w:i/>
                <w:lang w:val="fr-FR" w:eastAsia="en-US"/>
              </w:rPr>
            </w:pPr>
            <w:r w:rsidRPr="007F1538">
              <w:rPr>
                <w:rFonts w:cs="Arial"/>
                <w:i/>
                <w:lang w:val="fr-FR" w:eastAsia="en-US"/>
              </w:rPr>
              <w:t>43</w:t>
            </w:r>
          </w:p>
        </w:tc>
        <w:tc>
          <w:tcPr>
            <w:tcW w:w="1173" w:type="dxa"/>
            <w:tcBorders>
              <w:top w:val="single" w:sz="8" w:space="0" w:color="auto"/>
              <w:left w:val="single" w:sz="4" w:space="0" w:color="auto"/>
              <w:bottom w:val="single" w:sz="8" w:space="0" w:color="auto"/>
              <w:right w:val="single" w:sz="4" w:space="0" w:color="auto"/>
            </w:tcBorders>
            <w:vAlign w:val="bottom"/>
          </w:tcPr>
          <w:p w:rsidR="00E852C1" w:rsidRPr="007F1538" w:rsidRDefault="00E852C1" w:rsidP="00E852C1">
            <w:pPr>
              <w:jc w:val="center"/>
              <w:rPr>
                <w:rFonts w:cs="Arial"/>
                <w:i/>
                <w:lang w:val="fr-FR" w:eastAsia="en-US"/>
              </w:rPr>
            </w:pPr>
            <w:r w:rsidRPr="007F1538">
              <w:rPr>
                <w:rFonts w:cs="Arial"/>
                <w:i/>
                <w:lang w:val="fr-FR" w:eastAsia="en-US"/>
              </w:rPr>
              <w:t>62</w:t>
            </w:r>
          </w:p>
        </w:tc>
        <w:tc>
          <w:tcPr>
            <w:tcW w:w="1173" w:type="dxa"/>
            <w:tcBorders>
              <w:top w:val="single" w:sz="8" w:space="0" w:color="auto"/>
              <w:left w:val="single" w:sz="4" w:space="0" w:color="auto"/>
              <w:bottom w:val="single" w:sz="8" w:space="0" w:color="auto"/>
              <w:right w:val="single" w:sz="8" w:space="0" w:color="auto"/>
            </w:tcBorders>
            <w:shd w:val="clear" w:color="auto" w:fill="auto"/>
            <w:noWrap/>
            <w:vAlign w:val="bottom"/>
          </w:tcPr>
          <w:p w:rsidR="00E852C1" w:rsidRPr="007F1538" w:rsidRDefault="00404C78" w:rsidP="0012151C">
            <w:pPr>
              <w:jc w:val="center"/>
              <w:rPr>
                <w:rFonts w:cs="Arial"/>
                <w:i/>
                <w:lang w:val="fr-FR" w:eastAsia="en-US"/>
              </w:rPr>
            </w:pPr>
            <w:r w:rsidRPr="007F1538">
              <w:rPr>
                <w:rFonts w:cs="Arial"/>
                <w:i/>
                <w:lang w:val="fr-FR" w:eastAsia="en-US"/>
              </w:rPr>
              <w:t>372</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E852C1" w:rsidRPr="007F1538" w:rsidRDefault="00E852C1" w:rsidP="0012151C">
            <w:pPr>
              <w:jc w:val="center"/>
              <w:rPr>
                <w:rFonts w:cs="Arial"/>
                <w:i/>
                <w:lang w:val="fr-FR" w:eastAsia="en-US"/>
              </w:rPr>
            </w:pPr>
            <w:r w:rsidRPr="007F1538">
              <w:rPr>
                <w:rFonts w:cs="Arial"/>
                <w:i/>
                <w:lang w:val="fr-FR" w:eastAsia="en-US"/>
              </w:rPr>
              <w:t>564</w:t>
            </w:r>
          </w:p>
        </w:tc>
      </w:tr>
    </w:tbl>
    <w:p w:rsidR="00D85A58" w:rsidRPr="007F1538" w:rsidRDefault="00D85A58" w:rsidP="007C7A09">
      <w:pPr>
        <w:rPr>
          <w:rFonts w:cs="Arial"/>
          <w:iCs/>
          <w:lang w:val="fr-FR" w:eastAsia="en-US"/>
        </w:rPr>
      </w:pPr>
    </w:p>
    <w:p w:rsidR="00A73AD2" w:rsidRPr="007F1538" w:rsidRDefault="00873D90" w:rsidP="00873D90">
      <w:pPr>
        <w:pStyle w:val="Heading3"/>
        <w:rPr>
          <w:lang w:val="fr-FR"/>
        </w:rPr>
      </w:pPr>
      <w:bookmarkStart w:id="41" w:name="_Toc231044715"/>
      <w:bookmarkStart w:id="42" w:name="_Toc233192574"/>
      <w:bookmarkStart w:id="43" w:name="_Toc233194339"/>
      <w:bookmarkStart w:id="44" w:name="_Toc233194494"/>
      <w:bookmarkStart w:id="45" w:name="_Toc233607050"/>
      <w:bookmarkStart w:id="46" w:name="_Toc263170596"/>
      <w:bookmarkStart w:id="47" w:name="_Toc267060125"/>
      <w:bookmarkStart w:id="48" w:name="_Toc269220679"/>
      <w:r w:rsidRPr="00873D90">
        <w:rPr>
          <w:lang w:val="fr-FR"/>
        </w:rPr>
        <w:t>Enseignement - industrie :</w:t>
      </w:r>
      <w:r w:rsidR="00A73AD2" w:rsidRPr="007F1538">
        <w:rPr>
          <w:lang w:val="fr-FR"/>
        </w:rPr>
        <w:t xml:space="preserve"> </w:t>
      </w:r>
      <w:bookmarkEnd w:id="41"/>
      <w:bookmarkEnd w:id="42"/>
      <w:bookmarkEnd w:id="43"/>
      <w:bookmarkEnd w:id="44"/>
      <w:bookmarkEnd w:id="45"/>
      <w:bookmarkEnd w:id="46"/>
      <w:r w:rsidRPr="00873D90">
        <w:rPr>
          <w:lang w:val="fr-FR"/>
        </w:rPr>
        <w:t>politique multidirectionnelle</w:t>
      </w:r>
      <w:bookmarkEnd w:id="47"/>
      <w:bookmarkEnd w:id="48"/>
      <w:r w:rsidR="002C1D6E" w:rsidRPr="007F1538">
        <w:rPr>
          <w:lang w:val="fr-FR"/>
        </w:rPr>
        <w:t xml:space="preserve"> </w:t>
      </w:r>
    </w:p>
    <w:p w:rsidR="00B13E7D" w:rsidRPr="007F1538" w:rsidRDefault="00873D90" w:rsidP="00B13E7D">
      <w:pPr>
        <w:rPr>
          <w:rFonts w:cs="Arial"/>
          <w:iCs/>
          <w:lang w:val="fr-FR" w:eastAsia="en-US"/>
        </w:rPr>
      </w:pPr>
      <w:r w:rsidRPr="00873D90">
        <w:rPr>
          <w:rFonts w:cs="Arial"/>
          <w:iCs/>
          <w:lang w:val="fr-FR" w:eastAsia="en-US"/>
        </w:rPr>
        <w:t>Durant l’année scolaire 2009-2010, 110 élèves ont profité de l’apprentissage industriel dans l’industrie alimentaire.</w:t>
      </w:r>
      <w:r w:rsidR="00B13E7D" w:rsidRPr="007F1538">
        <w:rPr>
          <w:rFonts w:cs="Arial"/>
          <w:iCs/>
          <w:lang w:val="fr-FR" w:eastAsia="en-US"/>
        </w:rPr>
        <w:t xml:space="preserve"> </w:t>
      </w:r>
      <w:r w:rsidRPr="00873D90">
        <w:rPr>
          <w:rFonts w:cs="Arial"/>
          <w:iCs/>
          <w:lang w:val="fr-FR" w:eastAsia="en-US"/>
        </w:rPr>
        <w:t>Du côté flamand, nous avons noté la participation de 40 élèves et du côté francophone, 70 élèves ont suivi un CAI durant l'année scolaire 2009-2010.</w:t>
      </w:r>
      <w:r w:rsidR="00B13E7D" w:rsidRPr="00873D90">
        <w:rPr>
          <w:rFonts w:cs="Arial"/>
          <w:iCs/>
          <w:lang w:val="fr-FR" w:eastAsia="en-US"/>
        </w:rPr>
        <w:t xml:space="preserve"> </w:t>
      </w:r>
      <w:r w:rsidRPr="00873D90">
        <w:rPr>
          <w:rFonts w:cs="Arial"/>
          <w:iCs/>
          <w:lang w:val="fr-FR" w:eastAsia="en-US"/>
        </w:rPr>
        <w:t>En Flandre, le groupe cible se compose principalement de jeunes mineurs, alors qu’en Wallonie, de nombreux jeunes sous apprentissage industriel sont âgés de plus de 18 ans.</w:t>
      </w:r>
      <w:r w:rsidR="00B13E7D" w:rsidRPr="007F1538">
        <w:rPr>
          <w:rFonts w:cs="Arial"/>
          <w:iCs/>
          <w:lang w:val="fr-FR" w:eastAsia="en-US"/>
        </w:rPr>
        <w:t xml:space="preserve"> </w:t>
      </w:r>
      <w:r w:rsidRPr="00873D90">
        <w:rPr>
          <w:rFonts w:cs="Arial"/>
          <w:iCs/>
          <w:lang w:val="fr-FR" w:eastAsia="en-US"/>
        </w:rPr>
        <w:t>La formation de tous ces élèves est réalisée en collaboration avec 26 CE</w:t>
      </w:r>
      <w:r w:rsidR="00740924">
        <w:rPr>
          <w:rFonts w:cs="Arial"/>
          <w:iCs/>
          <w:lang w:val="fr-FR" w:eastAsia="en-US"/>
        </w:rPr>
        <w:t>F</w:t>
      </w:r>
      <w:r w:rsidRPr="00873D90">
        <w:rPr>
          <w:rFonts w:cs="Arial"/>
          <w:iCs/>
          <w:lang w:val="fr-FR" w:eastAsia="en-US"/>
        </w:rPr>
        <w:t xml:space="preserve">A (centres </w:t>
      </w:r>
      <w:r w:rsidR="00740924">
        <w:rPr>
          <w:rFonts w:cs="Arial"/>
          <w:iCs/>
          <w:lang w:val="fr-FR" w:eastAsia="en-US"/>
        </w:rPr>
        <w:t>d’éducation et de formation</w:t>
      </w:r>
      <w:r w:rsidRPr="00873D90">
        <w:rPr>
          <w:rFonts w:cs="Arial"/>
          <w:iCs/>
          <w:lang w:val="fr-FR" w:eastAsia="en-US"/>
        </w:rPr>
        <w:t xml:space="preserve"> en alternance).</w:t>
      </w:r>
    </w:p>
    <w:p w:rsidR="00A73AD2" w:rsidRPr="007F1538" w:rsidRDefault="00A73AD2">
      <w:pPr>
        <w:rPr>
          <w:rFonts w:cs="Arial"/>
          <w:lang w:val="fr-FR"/>
        </w:rPr>
      </w:pPr>
    </w:p>
    <w:p w:rsidR="00A73AD2" w:rsidRPr="007F1538" w:rsidRDefault="007A50E0">
      <w:pPr>
        <w:rPr>
          <w:rFonts w:cs="Arial"/>
          <w:lang w:val="fr-FR"/>
        </w:rPr>
      </w:pPr>
      <w:r>
        <w:rPr>
          <w:rFonts w:cs="Arial"/>
          <w:lang w:val="fr-FR"/>
        </w:rPr>
        <w:lastRenderedPageBreak/>
        <w:t>Tableau 11</w:t>
      </w:r>
      <w:r w:rsidR="00873D90" w:rsidRPr="00873D90">
        <w:rPr>
          <w:rFonts w:cs="Arial"/>
          <w:lang w:val="fr-FR"/>
        </w:rPr>
        <w:t xml:space="preserve"> : nombre </w:t>
      </w:r>
      <w:r w:rsidR="00413DAE">
        <w:rPr>
          <w:rFonts w:cs="Arial"/>
          <w:lang w:val="fr-FR"/>
        </w:rPr>
        <w:t>d’élèves pour</w:t>
      </w:r>
      <w:r w:rsidR="00873D90" w:rsidRPr="00873D90">
        <w:rPr>
          <w:rFonts w:cs="Arial"/>
          <w:lang w:val="fr-FR"/>
        </w:rPr>
        <w:t xml:space="preserve"> l’industrie alimentaire</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892"/>
        <w:gridCol w:w="893"/>
        <w:gridCol w:w="892"/>
        <w:gridCol w:w="892"/>
        <w:gridCol w:w="892"/>
        <w:gridCol w:w="892"/>
        <w:gridCol w:w="892"/>
        <w:gridCol w:w="902"/>
        <w:gridCol w:w="881"/>
      </w:tblGrid>
      <w:tr w:rsidR="00873D90" w:rsidRPr="007F1538" w:rsidTr="001B0227">
        <w:tc>
          <w:tcPr>
            <w:tcW w:w="985" w:type="dxa"/>
          </w:tcPr>
          <w:p w:rsidR="001B0227" w:rsidRPr="007F1538" w:rsidRDefault="001B0227" w:rsidP="004B2F9E">
            <w:pPr>
              <w:jc w:val="right"/>
              <w:rPr>
                <w:rFonts w:cs="Arial"/>
                <w:lang w:val="fr-FR"/>
              </w:rPr>
            </w:pPr>
          </w:p>
        </w:tc>
        <w:tc>
          <w:tcPr>
            <w:tcW w:w="913" w:type="dxa"/>
          </w:tcPr>
          <w:p w:rsidR="001B0227" w:rsidRPr="007F1538" w:rsidRDefault="001B0227" w:rsidP="00AF74D4">
            <w:pPr>
              <w:rPr>
                <w:rFonts w:cs="Arial"/>
                <w:lang w:val="fr-FR"/>
              </w:rPr>
            </w:pPr>
            <w:r w:rsidRPr="007F1538">
              <w:rPr>
                <w:rFonts w:cs="Arial"/>
                <w:lang w:val="fr-FR"/>
              </w:rPr>
              <w:t>2001-</w:t>
            </w:r>
          </w:p>
          <w:p w:rsidR="001B0227" w:rsidRPr="007F1538" w:rsidRDefault="001B0227" w:rsidP="00AF74D4">
            <w:pPr>
              <w:jc w:val="right"/>
              <w:rPr>
                <w:rFonts w:cs="Arial"/>
                <w:lang w:val="fr-FR"/>
              </w:rPr>
            </w:pPr>
            <w:r w:rsidRPr="007F1538">
              <w:rPr>
                <w:rFonts w:cs="Arial"/>
                <w:lang w:val="fr-FR"/>
              </w:rPr>
              <w:t>2002</w:t>
            </w:r>
          </w:p>
        </w:tc>
        <w:tc>
          <w:tcPr>
            <w:tcW w:w="913" w:type="dxa"/>
          </w:tcPr>
          <w:p w:rsidR="001B0227" w:rsidRPr="007F1538" w:rsidRDefault="001B0227" w:rsidP="00AF74D4">
            <w:pPr>
              <w:rPr>
                <w:rFonts w:cs="Arial"/>
                <w:lang w:val="fr-FR"/>
              </w:rPr>
            </w:pPr>
            <w:r w:rsidRPr="007F1538">
              <w:rPr>
                <w:rFonts w:cs="Arial"/>
                <w:lang w:val="fr-FR"/>
              </w:rPr>
              <w:t>2002-</w:t>
            </w:r>
          </w:p>
          <w:p w:rsidR="001B0227" w:rsidRPr="007F1538" w:rsidRDefault="001B0227" w:rsidP="00AF74D4">
            <w:pPr>
              <w:jc w:val="right"/>
              <w:rPr>
                <w:rFonts w:cs="Arial"/>
                <w:lang w:val="fr-FR"/>
              </w:rPr>
            </w:pPr>
            <w:r w:rsidRPr="007F1538">
              <w:rPr>
                <w:rFonts w:cs="Arial"/>
                <w:lang w:val="fr-FR"/>
              </w:rPr>
              <w:t>2003</w:t>
            </w:r>
          </w:p>
        </w:tc>
        <w:tc>
          <w:tcPr>
            <w:tcW w:w="912" w:type="dxa"/>
          </w:tcPr>
          <w:p w:rsidR="001B0227" w:rsidRPr="007F1538" w:rsidRDefault="001B0227" w:rsidP="00AF74D4">
            <w:pPr>
              <w:rPr>
                <w:rFonts w:cs="Arial"/>
                <w:lang w:val="fr-FR"/>
              </w:rPr>
            </w:pPr>
            <w:r w:rsidRPr="007F1538">
              <w:rPr>
                <w:rFonts w:cs="Arial"/>
                <w:lang w:val="fr-FR"/>
              </w:rPr>
              <w:t>2003-</w:t>
            </w:r>
          </w:p>
          <w:p w:rsidR="001B0227" w:rsidRPr="007F1538" w:rsidRDefault="001B0227" w:rsidP="00AF74D4">
            <w:pPr>
              <w:jc w:val="right"/>
              <w:rPr>
                <w:rFonts w:cs="Arial"/>
                <w:lang w:val="fr-FR"/>
              </w:rPr>
            </w:pPr>
            <w:r w:rsidRPr="007F1538">
              <w:rPr>
                <w:rFonts w:cs="Arial"/>
                <w:lang w:val="fr-FR"/>
              </w:rPr>
              <w:t>2004</w:t>
            </w:r>
          </w:p>
        </w:tc>
        <w:tc>
          <w:tcPr>
            <w:tcW w:w="912" w:type="dxa"/>
          </w:tcPr>
          <w:p w:rsidR="001B0227" w:rsidRPr="007F1538" w:rsidRDefault="001B0227" w:rsidP="00AF74D4">
            <w:pPr>
              <w:rPr>
                <w:rFonts w:cs="Arial"/>
                <w:lang w:val="fr-FR"/>
              </w:rPr>
            </w:pPr>
            <w:r w:rsidRPr="007F1538">
              <w:rPr>
                <w:rFonts w:cs="Arial"/>
                <w:lang w:val="fr-FR"/>
              </w:rPr>
              <w:t>2004-</w:t>
            </w:r>
          </w:p>
          <w:p w:rsidR="001B0227" w:rsidRPr="007F1538" w:rsidRDefault="001B0227" w:rsidP="00AF74D4">
            <w:pPr>
              <w:jc w:val="right"/>
              <w:rPr>
                <w:rFonts w:cs="Arial"/>
                <w:lang w:val="fr-FR"/>
              </w:rPr>
            </w:pPr>
            <w:r w:rsidRPr="007F1538">
              <w:rPr>
                <w:rFonts w:cs="Arial"/>
                <w:lang w:val="fr-FR"/>
              </w:rPr>
              <w:t>2005</w:t>
            </w:r>
          </w:p>
        </w:tc>
        <w:tc>
          <w:tcPr>
            <w:tcW w:w="912" w:type="dxa"/>
          </w:tcPr>
          <w:p w:rsidR="001B0227" w:rsidRPr="007F1538" w:rsidRDefault="001B0227" w:rsidP="00AF74D4">
            <w:pPr>
              <w:rPr>
                <w:rFonts w:cs="Arial"/>
                <w:lang w:val="fr-FR"/>
              </w:rPr>
            </w:pPr>
            <w:r w:rsidRPr="007F1538">
              <w:rPr>
                <w:rFonts w:cs="Arial"/>
                <w:lang w:val="fr-FR"/>
              </w:rPr>
              <w:t>2005-</w:t>
            </w:r>
          </w:p>
          <w:p w:rsidR="001B0227" w:rsidRPr="007F1538" w:rsidRDefault="001B0227" w:rsidP="00AF74D4">
            <w:pPr>
              <w:jc w:val="right"/>
              <w:rPr>
                <w:rFonts w:cs="Arial"/>
                <w:lang w:val="fr-FR"/>
              </w:rPr>
            </w:pPr>
            <w:r w:rsidRPr="007F1538">
              <w:rPr>
                <w:rFonts w:cs="Arial"/>
                <w:lang w:val="fr-FR"/>
              </w:rPr>
              <w:t>2006</w:t>
            </w:r>
          </w:p>
        </w:tc>
        <w:tc>
          <w:tcPr>
            <w:tcW w:w="912" w:type="dxa"/>
          </w:tcPr>
          <w:p w:rsidR="001B0227" w:rsidRPr="007F1538" w:rsidRDefault="001B0227" w:rsidP="00AF74D4">
            <w:pPr>
              <w:rPr>
                <w:rFonts w:cs="Arial"/>
                <w:lang w:val="fr-FR"/>
              </w:rPr>
            </w:pPr>
            <w:r w:rsidRPr="007F1538">
              <w:rPr>
                <w:rFonts w:cs="Arial"/>
                <w:lang w:val="fr-FR"/>
              </w:rPr>
              <w:t>2006-</w:t>
            </w:r>
          </w:p>
          <w:p w:rsidR="001B0227" w:rsidRPr="007F1538" w:rsidRDefault="001B0227" w:rsidP="00AF74D4">
            <w:pPr>
              <w:jc w:val="right"/>
              <w:rPr>
                <w:rFonts w:cs="Arial"/>
                <w:lang w:val="fr-FR"/>
              </w:rPr>
            </w:pPr>
            <w:r w:rsidRPr="007F1538">
              <w:rPr>
                <w:rFonts w:cs="Arial"/>
                <w:lang w:val="fr-FR"/>
              </w:rPr>
              <w:t>2007</w:t>
            </w:r>
          </w:p>
        </w:tc>
        <w:tc>
          <w:tcPr>
            <w:tcW w:w="912" w:type="dxa"/>
          </w:tcPr>
          <w:p w:rsidR="001B0227" w:rsidRPr="007F1538" w:rsidRDefault="001B0227" w:rsidP="00AF74D4">
            <w:pPr>
              <w:rPr>
                <w:rFonts w:cs="Arial"/>
                <w:lang w:val="fr-FR"/>
              </w:rPr>
            </w:pPr>
            <w:r w:rsidRPr="007F1538">
              <w:rPr>
                <w:rFonts w:cs="Arial"/>
                <w:lang w:val="fr-FR"/>
              </w:rPr>
              <w:t>2007-2008</w:t>
            </w:r>
          </w:p>
        </w:tc>
        <w:tc>
          <w:tcPr>
            <w:tcW w:w="915" w:type="dxa"/>
          </w:tcPr>
          <w:p w:rsidR="001B0227" w:rsidRPr="007F1538" w:rsidRDefault="001B0227" w:rsidP="004B2F9E">
            <w:pPr>
              <w:rPr>
                <w:rFonts w:cs="Arial"/>
                <w:lang w:val="fr-FR"/>
              </w:rPr>
            </w:pPr>
            <w:r w:rsidRPr="007F1538">
              <w:rPr>
                <w:rFonts w:cs="Arial"/>
                <w:lang w:val="fr-FR"/>
              </w:rPr>
              <w:t>2008-</w:t>
            </w:r>
          </w:p>
          <w:p w:rsidR="001B0227" w:rsidRPr="007F1538" w:rsidRDefault="001B0227" w:rsidP="004B2F9E">
            <w:pPr>
              <w:jc w:val="right"/>
              <w:rPr>
                <w:rFonts w:cs="Arial"/>
                <w:lang w:val="fr-FR"/>
              </w:rPr>
            </w:pPr>
            <w:r w:rsidRPr="007F1538">
              <w:rPr>
                <w:rFonts w:cs="Arial"/>
                <w:lang w:val="fr-FR"/>
              </w:rPr>
              <w:t>2009</w:t>
            </w:r>
          </w:p>
        </w:tc>
        <w:tc>
          <w:tcPr>
            <w:tcW w:w="892" w:type="dxa"/>
          </w:tcPr>
          <w:p w:rsidR="001B0227" w:rsidRPr="007F1538" w:rsidRDefault="001B0227" w:rsidP="004B2F9E">
            <w:pPr>
              <w:rPr>
                <w:rFonts w:cs="Arial"/>
                <w:lang w:val="fr-FR"/>
              </w:rPr>
            </w:pPr>
            <w:r w:rsidRPr="007F1538">
              <w:rPr>
                <w:rFonts w:cs="Arial"/>
                <w:lang w:val="fr-FR"/>
              </w:rPr>
              <w:t>2009-2010</w:t>
            </w:r>
          </w:p>
        </w:tc>
      </w:tr>
      <w:tr w:rsidR="00873D90" w:rsidRPr="007F1538" w:rsidTr="001B0227">
        <w:tc>
          <w:tcPr>
            <w:tcW w:w="985" w:type="dxa"/>
          </w:tcPr>
          <w:p w:rsidR="001B0227" w:rsidRPr="007F1538" w:rsidRDefault="00873D90" w:rsidP="00690B4E">
            <w:pPr>
              <w:spacing w:before="60"/>
              <w:jc w:val="center"/>
              <w:rPr>
                <w:rFonts w:cs="Arial"/>
                <w:lang w:val="fr-FR"/>
              </w:rPr>
            </w:pPr>
            <w:r w:rsidRPr="00873D90">
              <w:rPr>
                <w:rFonts w:cs="Arial"/>
                <w:lang w:val="fr-FR"/>
              </w:rPr>
              <w:t>En alternance</w:t>
            </w:r>
          </w:p>
        </w:tc>
        <w:tc>
          <w:tcPr>
            <w:tcW w:w="913" w:type="dxa"/>
          </w:tcPr>
          <w:p w:rsidR="001B0227" w:rsidRPr="007F1538" w:rsidRDefault="001B0227" w:rsidP="00AF74D4">
            <w:pPr>
              <w:spacing w:before="60"/>
              <w:jc w:val="center"/>
              <w:rPr>
                <w:rFonts w:cs="Arial"/>
                <w:lang w:val="fr-FR"/>
              </w:rPr>
            </w:pPr>
            <w:r w:rsidRPr="007F1538">
              <w:rPr>
                <w:rFonts w:cs="Arial"/>
                <w:lang w:val="fr-FR"/>
              </w:rPr>
              <w:t>115</w:t>
            </w:r>
          </w:p>
        </w:tc>
        <w:tc>
          <w:tcPr>
            <w:tcW w:w="913" w:type="dxa"/>
          </w:tcPr>
          <w:p w:rsidR="001B0227" w:rsidRPr="007F1538" w:rsidRDefault="001B0227" w:rsidP="00AF74D4">
            <w:pPr>
              <w:spacing w:before="60"/>
              <w:jc w:val="center"/>
              <w:rPr>
                <w:rFonts w:cs="Arial"/>
                <w:lang w:val="fr-FR"/>
              </w:rPr>
            </w:pPr>
            <w:r w:rsidRPr="007F1538">
              <w:rPr>
                <w:rFonts w:cs="Arial"/>
                <w:lang w:val="fr-FR"/>
              </w:rPr>
              <w:t>114</w:t>
            </w:r>
          </w:p>
        </w:tc>
        <w:tc>
          <w:tcPr>
            <w:tcW w:w="912" w:type="dxa"/>
          </w:tcPr>
          <w:p w:rsidR="001B0227" w:rsidRPr="007F1538" w:rsidRDefault="001B0227" w:rsidP="00AF74D4">
            <w:pPr>
              <w:spacing w:before="60"/>
              <w:jc w:val="center"/>
              <w:rPr>
                <w:rFonts w:cs="Arial"/>
                <w:lang w:val="fr-FR"/>
              </w:rPr>
            </w:pPr>
            <w:r w:rsidRPr="007F1538">
              <w:rPr>
                <w:rFonts w:cs="Arial"/>
                <w:lang w:val="fr-FR"/>
              </w:rPr>
              <w:t>121</w:t>
            </w:r>
          </w:p>
        </w:tc>
        <w:tc>
          <w:tcPr>
            <w:tcW w:w="912" w:type="dxa"/>
          </w:tcPr>
          <w:p w:rsidR="001B0227" w:rsidRPr="007F1538" w:rsidRDefault="001B0227" w:rsidP="00AF74D4">
            <w:pPr>
              <w:spacing w:before="60"/>
              <w:jc w:val="center"/>
              <w:rPr>
                <w:rFonts w:cs="Arial"/>
                <w:lang w:val="fr-FR"/>
              </w:rPr>
            </w:pPr>
            <w:r w:rsidRPr="007F1538">
              <w:rPr>
                <w:rFonts w:cs="Arial"/>
                <w:lang w:val="fr-FR"/>
              </w:rPr>
              <w:t>122</w:t>
            </w:r>
          </w:p>
        </w:tc>
        <w:tc>
          <w:tcPr>
            <w:tcW w:w="912" w:type="dxa"/>
          </w:tcPr>
          <w:p w:rsidR="001B0227" w:rsidRPr="007F1538" w:rsidRDefault="001B0227" w:rsidP="00AF74D4">
            <w:pPr>
              <w:spacing w:before="60"/>
              <w:jc w:val="center"/>
              <w:rPr>
                <w:rFonts w:cs="Arial"/>
                <w:lang w:val="fr-FR"/>
              </w:rPr>
            </w:pPr>
            <w:r w:rsidRPr="007F1538">
              <w:rPr>
                <w:rFonts w:cs="Arial"/>
                <w:lang w:val="fr-FR"/>
              </w:rPr>
              <w:t>116</w:t>
            </w:r>
          </w:p>
        </w:tc>
        <w:tc>
          <w:tcPr>
            <w:tcW w:w="912" w:type="dxa"/>
          </w:tcPr>
          <w:p w:rsidR="001B0227" w:rsidRPr="007F1538" w:rsidRDefault="001B0227" w:rsidP="00AF74D4">
            <w:pPr>
              <w:spacing w:before="60"/>
              <w:jc w:val="center"/>
              <w:rPr>
                <w:rFonts w:cs="Arial"/>
                <w:lang w:val="fr-FR"/>
              </w:rPr>
            </w:pPr>
            <w:r w:rsidRPr="007F1538">
              <w:rPr>
                <w:rFonts w:cs="Arial"/>
                <w:lang w:val="fr-FR"/>
              </w:rPr>
              <w:t>130</w:t>
            </w:r>
          </w:p>
        </w:tc>
        <w:tc>
          <w:tcPr>
            <w:tcW w:w="912" w:type="dxa"/>
          </w:tcPr>
          <w:p w:rsidR="001B0227" w:rsidRPr="007F1538" w:rsidRDefault="001B0227" w:rsidP="00AF74D4">
            <w:pPr>
              <w:spacing w:before="60"/>
              <w:jc w:val="center"/>
              <w:rPr>
                <w:rFonts w:cs="Arial"/>
                <w:lang w:val="fr-FR"/>
              </w:rPr>
            </w:pPr>
            <w:r w:rsidRPr="007F1538">
              <w:rPr>
                <w:rFonts w:cs="Arial"/>
                <w:lang w:val="fr-FR"/>
              </w:rPr>
              <w:t>122</w:t>
            </w:r>
          </w:p>
        </w:tc>
        <w:tc>
          <w:tcPr>
            <w:tcW w:w="915" w:type="dxa"/>
          </w:tcPr>
          <w:p w:rsidR="001B0227" w:rsidRPr="007F1538" w:rsidRDefault="001B0227">
            <w:pPr>
              <w:spacing w:before="60"/>
              <w:jc w:val="center"/>
              <w:rPr>
                <w:rFonts w:cs="Arial"/>
                <w:lang w:val="fr-FR"/>
              </w:rPr>
            </w:pPr>
            <w:r w:rsidRPr="007F1538">
              <w:rPr>
                <w:rFonts w:cs="Arial"/>
                <w:lang w:val="fr-FR"/>
              </w:rPr>
              <w:t>121</w:t>
            </w:r>
          </w:p>
        </w:tc>
        <w:tc>
          <w:tcPr>
            <w:tcW w:w="892" w:type="dxa"/>
          </w:tcPr>
          <w:p w:rsidR="001B0227" w:rsidRPr="007F1538" w:rsidRDefault="001B0227">
            <w:pPr>
              <w:spacing w:before="60"/>
              <w:jc w:val="center"/>
              <w:rPr>
                <w:rFonts w:cs="Arial"/>
                <w:lang w:val="fr-FR"/>
              </w:rPr>
            </w:pPr>
            <w:r w:rsidRPr="007F1538">
              <w:rPr>
                <w:rFonts w:cs="Arial"/>
                <w:lang w:val="fr-FR"/>
              </w:rPr>
              <w:t>110</w:t>
            </w:r>
          </w:p>
        </w:tc>
      </w:tr>
      <w:tr w:rsidR="00873D90" w:rsidRPr="007F1538" w:rsidTr="001B0227">
        <w:tc>
          <w:tcPr>
            <w:tcW w:w="985" w:type="dxa"/>
            <w:tcBorders>
              <w:top w:val="single" w:sz="4" w:space="0" w:color="auto"/>
              <w:left w:val="single" w:sz="4" w:space="0" w:color="auto"/>
              <w:bottom w:val="single" w:sz="4" w:space="0" w:color="auto"/>
              <w:right w:val="single" w:sz="4" w:space="0" w:color="auto"/>
            </w:tcBorders>
          </w:tcPr>
          <w:p w:rsidR="001B0227" w:rsidRPr="007F1538" w:rsidRDefault="00873D90" w:rsidP="00690B4E">
            <w:pPr>
              <w:spacing w:before="60"/>
              <w:jc w:val="center"/>
              <w:rPr>
                <w:rFonts w:cs="Arial"/>
                <w:lang w:val="fr-FR"/>
              </w:rPr>
            </w:pPr>
            <w:r w:rsidRPr="00873D90">
              <w:rPr>
                <w:rFonts w:cs="Arial"/>
                <w:lang w:val="fr-FR"/>
              </w:rPr>
              <w:t>Plein exercice</w:t>
            </w:r>
          </w:p>
        </w:tc>
        <w:tc>
          <w:tcPr>
            <w:tcW w:w="913"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p>
        </w:tc>
        <w:tc>
          <w:tcPr>
            <w:tcW w:w="913"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p>
        </w:tc>
        <w:tc>
          <w:tcPr>
            <w:tcW w:w="912"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r w:rsidRPr="007F1538">
              <w:rPr>
                <w:rFonts w:cs="Arial"/>
                <w:lang w:val="fr-FR"/>
              </w:rPr>
              <w:t>91</w:t>
            </w:r>
          </w:p>
        </w:tc>
        <w:tc>
          <w:tcPr>
            <w:tcW w:w="912"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r w:rsidRPr="007F1538">
              <w:rPr>
                <w:rFonts w:cs="Arial"/>
                <w:lang w:val="fr-FR"/>
              </w:rPr>
              <w:t>133</w:t>
            </w:r>
          </w:p>
        </w:tc>
        <w:tc>
          <w:tcPr>
            <w:tcW w:w="912"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r w:rsidRPr="007F1538">
              <w:rPr>
                <w:rFonts w:cs="Arial"/>
                <w:lang w:val="fr-FR"/>
              </w:rPr>
              <w:t>151</w:t>
            </w:r>
          </w:p>
        </w:tc>
        <w:tc>
          <w:tcPr>
            <w:tcW w:w="912"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r w:rsidRPr="007F1538">
              <w:rPr>
                <w:rFonts w:cs="Arial"/>
                <w:lang w:val="fr-FR"/>
              </w:rPr>
              <w:t>163</w:t>
            </w:r>
          </w:p>
        </w:tc>
        <w:tc>
          <w:tcPr>
            <w:tcW w:w="912" w:type="dxa"/>
            <w:tcBorders>
              <w:top w:val="single" w:sz="4" w:space="0" w:color="auto"/>
              <w:left w:val="single" w:sz="4" w:space="0" w:color="auto"/>
              <w:bottom w:val="single" w:sz="4" w:space="0" w:color="auto"/>
              <w:right w:val="single" w:sz="4" w:space="0" w:color="auto"/>
            </w:tcBorders>
          </w:tcPr>
          <w:p w:rsidR="001B0227" w:rsidRPr="007F1538" w:rsidRDefault="001B0227" w:rsidP="00AF74D4">
            <w:pPr>
              <w:spacing w:before="60"/>
              <w:jc w:val="center"/>
              <w:rPr>
                <w:rFonts w:cs="Arial"/>
                <w:lang w:val="fr-FR"/>
              </w:rPr>
            </w:pPr>
            <w:r w:rsidRPr="007F1538">
              <w:rPr>
                <w:rFonts w:cs="Arial"/>
                <w:lang w:val="fr-FR"/>
              </w:rPr>
              <w:t>168</w:t>
            </w:r>
          </w:p>
        </w:tc>
        <w:tc>
          <w:tcPr>
            <w:tcW w:w="915" w:type="dxa"/>
            <w:tcBorders>
              <w:top w:val="single" w:sz="4" w:space="0" w:color="auto"/>
              <w:left w:val="single" w:sz="4" w:space="0" w:color="auto"/>
              <w:bottom w:val="single" w:sz="4" w:space="0" w:color="auto"/>
              <w:right w:val="single" w:sz="4" w:space="0" w:color="auto"/>
            </w:tcBorders>
            <w:vAlign w:val="bottom"/>
          </w:tcPr>
          <w:p w:rsidR="001B0227" w:rsidRPr="007F1538" w:rsidRDefault="001246AA">
            <w:pPr>
              <w:jc w:val="center"/>
              <w:rPr>
                <w:rFonts w:cs="Arial"/>
                <w:lang w:val="fr-FR"/>
              </w:rPr>
            </w:pPr>
            <w:r w:rsidRPr="007F1538">
              <w:rPr>
                <w:rFonts w:cs="Arial"/>
                <w:lang w:val="fr-FR"/>
              </w:rPr>
              <w:t>321</w:t>
            </w:r>
          </w:p>
          <w:p w:rsidR="001B0227" w:rsidRPr="007F1538" w:rsidRDefault="001B0227">
            <w:pPr>
              <w:jc w:val="center"/>
              <w:rPr>
                <w:rFonts w:cs="Arial"/>
                <w:lang w:val="fr-FR"/>
              </w:rPr>
            </w:pPr>
            <w:r w:rsidRPr="007F1538">
              <w:rPr>
                <w:rFonts w:cs="Arial"/>
                <w:lang w:val="fr-FR"/>
              </w:rPr>
              <w:t>+</w:t>
            </w:r>
          </w:p>
          <w:p w:rsidR="001B0227" w:rsidRPr="007F1538" w:rsidRDefault="001246AA" w:rsidP="001B0227">
            <w:pPr>
              <w:jc w:val="center"/>
              <w:rPr>
                <w:rFonts w:cs="Arial"/>
                <w:lang w:val="fr-FR"/>
              </w:rPr>
            </w:pPr>
            <w:r w:rsidRPr="007F1538">
              <w:rPr>
                <w:rFonts w:cs="Arial"/>
                <w:lang w:val="fr-FR"/>
              </w:rPr>
              <w:t>1</w:t>
            </w:r>
            <w:r w:rsidR="002A1268" w:rsidRPr="007F1538">
              <w:rPr>
                <w:rFonts w:cs="Arial"/>
                <w:lang w:val="fr-FR"/>
              </w:rPr>
              <w:t>.</w:t>
            </w:r>
            <w:r w:rsidRPr="007F1538">
              <w:rPr>
                <w:rFonts w:cs="Arial"/>
                <w:lang w:val="fr-FR"/>
              </w:rPr>
              <w:t>635</w:t>
            </w:r>
            <w:r w:rsidR="001B0227" w:rsidRPr="007F1538">
              <w:rPr>
                <w:rFonts w:cs="Arial"/>
                <w:lang w:val="fr-FR"/>
              </w:rPr>
              <w:t>*</w:t>
            </w:r>
          </w:p>
        </w:tc>
        <w:tc>
          <w:tcPr>
            <w:tcW w:w="892" w:type="dxa"/>
            <w:tcBorders>
              <w:top w:val="single" w:sz="4" w:space="0" w:color="auto"/>
              <w:left w:val="single" w:sz="4" w:space="0" w:color="auto"/>
              <w:bottom w:val="single" w:sz="4" w:space="0" w:color="auto"/>
              <w:right w:val="single" w:sz="4" w:space="0" w:color="auto"/>
            </w:tcBorders>
          </w:tcPr>
          <w:p w:rsidR="001B0227" w:rsidRPr="007F1538" w:rsidRDefault="002A1268">
            <w:pPr>
              <w:jc w:val="center"/>
              <w:rPr>
                <w:rFonts w:cs="Arial"/>
                <w:lang w:val="fr-FR"/>
              </w:rPr>
            </w:pPr>
            <w:r w:rsidRPr="007F1538">
              <w:rPr>
                <w:rFonts w:cs="Arial"/>
                <w:lang w:val="fr-FR"/>
              </w:rPr>
              <w:t>312</w:t>
            </w:r>
          </w:p>
          <w:p w:rsidR="005F476F" w:rsidRPr="007F1538" w:rsidRDefault="005F476F">
            <w:pPr>
              <w:jc w:val="center"/>
              <w:rPr>
                <w:rFonts w:cs="Arial"/>
                <w:lang w:val="fr-FR"/>
              </w:rPr>
            </w:pPr>
            <w:r w:rsidRPr="007F1538">
              <w:rPr>
                <w:rFonts w:cs="Arial"/>
                <w:lang w:val="fr-FR"/>
              </w:rPr>
              <w:t>+</w:t>
            </w:r>
          </w:p>
          <w:p w:rsidR="005F476F" w:rsidRPr="007F1538" w:rsidRDefault="002A1268">
            <w:pPr>
              <w:jc w:val="center"/>
              <w:rPr>
                <w:rFonts w:cs="Arial"/>
                <w:lang w:val="fr-FR"/>
              </w:rPr>
            </w:pPr>
            <w:r w:rsidRPr="007F1538">
              <w:rPr>
                <w:rFonts w:cs="Arial"/>
                <w:lang w:val="fr-FR"/>
              </w:rPr>
              <w:t>1.583*</w:t>
            </w:r>
          </w:p>
        </w:tc>
      </w:tr>
    </w:tbl>
    <w:p w:rsidR="00783C3F" w:rsidRPr="007F1538" w:rsidRDefault="00873D90">
      <w:pPr>
        <w:rPr>
          <w:rFonts w:cs="Arial"/>
          <w:i/>
          <w:lang w:val="fr-FR"/>
        </w:rPr>
      </w:pPr>
      <w:r w:rsidRPr="00873D90">
        <w:rPr>
          <w:rFonts w:cs="Arial"/>
          <w:i/>
          <w:lang w:val="fr-FR"/>
        </w:rPr>
        <w:t>* formations en boulangerie</w:t>
      </w:r>
    </w:p>
    <w:p w:rsidR="00B13E7D" w:rsidRPr="007F1538" w:rsidRDefault="00B13E7D">
      <w:pPr>
        <w:rPr>
          <w:rFonts w:cs="Arial"/>
          <w:lang w:val="fr-FR"/>
        </w:rPr>
      </w:pPr>
    </w:p>
    <w:p w:rsidR="00EF0BBF" w:rsidRPr="007F1538" w:rsidRDefault="005F508E" w:rsidP="009D5157">
      <w:pPr>
        <w:rPr>
          <w:rFonts w:cs="Arial"/>
          <w:iCs/>
          <w:lang w:val="fr-FR"/>
        </w:rPr>
      </w:pPr>
      <w:r w:rsidRPr="005F508E">
        <w:rPr>
          <w:rFonts w:cs="Arial"/>
          <w:iCs/>
          <w:lang w:val="fr-FR"/>
        </w:rPr>
        <w:t>En 2009, l’IFP a poursuivi ses investissements dans l’encadrement et le soutien de certaines orientations spécifiques dans l’enseignement de plein exercice.</w:t>
      </w:r>
      <w:r w:rsidR="001F69F7" w:rsidRPr="007F1538">
        <w:rPr>
          <w:rFonts w:cs="Arial"/>
          <w:iCs/>
          <w:lang w:val="fr-FR"/>
        </w:rPr>
        <w:t xml:space="preserve"> </w:t>
      </w:r>
      <w:r w:rsidRPr="005F508E">
        <w:rPr>
          <w:rFonts w:cs="Arial"/>
          <w:iCs/>
          <w:lang w:val="fr-FR"/>
        </w:rPr>
        <w:t>C'est surtout l'orientation « Technicien de l'industrie alimentaire » qui a connu une couverture importante en Wallonie.</w:t>
      </w:r>
      <w:r w:rsidR="001F69F7" w:rsidRPr="007F1538">
        <w:rPr>
          <w:rFonts w:cs="Arial"/>
          <w:iCs/>
          <w:lang w:val="fr-FR"/>
        </w:rPr>
        <w:t xml:space="preserve"> </w:t>
      </w:r>
      <w:r w:rsidRPr="005F508E">
        <w:rPr>
          <w:rFonts w:cs="Arial"/>
          <w:iCs/>
          <w:lang w:val="fr-FR"/>
        </w:rPr>
        <w:t xml:space="preserve">Durant l’année scolaire 2009-2010, 150 </w:t>
      </w:r>
      <w:r w:rsidR="00294EED">
        <w:rPr>
          <w:rFonts w:cs="Arial"/>
          <w:iCs/>
          <w:lang w:val="fr-FR"/>
        </w:rPr>
        <w:t>élèves</w:t>
      </w:r>
      <w:r w:rsidRPr="005F508E">
        <w:rPr>
          <w:rFonts w:cs="Arial"/>
          <w:iCs/>
          <w:lang w:val="fr-FR"/>
        </w:rPr>
        <w:t xml:space="preserve"> issus de 10 écoles ont suivi cette formation.</w:t>
      </w:r>
      <w:r w:rsidR="001F69F7" w:rsidRPr="007F1538">
        <w:rPr>
          <w:rFonts w:cs="Arial"/>
          <w:iCs/>
          <w:lang w:val="fr-FR"/>
        </w:rPr>
        <w:t xml:space="preserve"> </w:t>
      </w:r>
      <w:r w:rsidRPr="005F508E">
        <w:rPr>
          <w:rFonts w:cs="Arial"/>
          <w:iCs/>
          <w:lang w:val="fr-FR"/>
        </w:rPr>
        <w:t>En outre, 131 élèves supplémentaires ont suivi une formation sectorielle en communauté française (transformation de la viande – 111, opérateur de production – 20).</w:t>
      </w:r>
    </w:p>
    <w:p w:rsidR="00EF0BBF" w:rsidRPr="007F1538" w:rsidRDefault="00EF0BBF" w:rsidP="001F69F7">
      <w:pPr>
        <w:rPr>
          <w:rFonts w:cs="Arial"/>
          <w:iCs/>
          <w:lang w:val="fr-FR"/>
        </w:rPr>
      </w:pPr>
    </w:p>
    <w:p w:rsidR="001F69F7" w:rsidRPr="007F1538" w:rsidRDefault="005F508E" w:rsidP="001F69F7">
      <w:pPr>
        <w:rPr>
          <w:rFonts w:cs="Arial"/>
          <w:iCs/>
          <w:lang w:val="fr-FR"/>
        </w:rPr>
      </w:pPr>
      <w:r w:rsidRPr="00D30409">
        <w:rPr>
          <w:rFonts w:cs="Arial"/>
          <w:iCs/>
          <w:lang w:val="fr-FR"/>
        </w:rPr>
        <w:t>En Flandre, seule une école propose à l’heure actuelle l’orientation technique « Techniques alimentaires » (2</w:t>
      </w:r>
      <w:r w:rsidRPr="00D30409">
        <w:rPr>
          <w:rFonts w:cs="Arial"/>
          <w:iCs/>
          <w:vertAlign w:val="superscript"/>
          <w:lang w:val="fr-FR"/>
        </w:rPr>
        <w:t>e</w:t>
      </w:r>
      <w:r w:rsidRPr="00D30409">
        <w:rPr>
          <w:rFonts w:cs="Arial"/>
          <w:iCs/>
          <w:lang w:val="fr-FR"/>
        </w:rPr>
        <w:t xml:space="preserve"> et 3</w:t>
      </w:r>
      <w:r w:rsidRPr="00D30409">
        <w:rPr>
          <w:rFonts w:cs="Arial"/>
          <w:iCs/>
          <w:vertAlign w:val="superscript"/>
          <w:lang w:val="fr-FR"/>
        </w:rPr>
        <w:t>e</w:t>
      </w:r>
      <w:r w:rsidRPr="00D30409">
        <w:rPr>
          <w:rFonts w:cs="Arial"/>
          <w:iCs/>
          <w:lang w:val="fr-FR"/>
        </w:rPr>
        <w:t xml:space="preserve"> degré</w:t>
      </w:r>
      <w:r w:rsidR="00D30409" w:rsidRPr="00D30409">
        <w:rPr>
          <w:rFonts w:cs="Arial"/>
          <w:iCs/>
          <w:lang w:val="fr-FR"/>
        </w:rPr>
        <w:t>s</w:t>
      </w:r>
      <w:r w:rsidRPr="00D30409">
        <w:rPr>
          <w:rFonts w:cs="Arial"/>
          <w:iCs/>
          <w:lang w:val="fr-FR"/>
        </w:rPr>
        <w:t>) et 31 élèves étaient inscrits dans cette orientation durant l’année scolaire 2009-2010.</w:t>
      </w:r>
      <w:r w:rsidR="001F69F7" w:rsidRPr="007F1538">
        <w:rPr>
          <w:rFonts w:cs="Arial"/>
          <w:iCs/>
          <w:lang w:val="fr-FR"/>
        </w:rPr>
        <w:t xml:space="preserve"> </w:t>
      </w:r>
      <w:r w:rsidRPr="005F508E">
        <w:rPr>
          <w:rFonts w:cs="Arial"/>
          <w:iCs/>
          <w:lang w:val="fr-FR"/>
        </w:rPr>
        <w:t>En 2009, une 7</w:t>
      </w:r>
      <w:r w:rsidRPr="005F508E">
        <w:rPr>
          <w:rFonts w:cs="Arial"/>
          <w:iCs/>
          <w:vertAlign w:val="superscript"/>
          <w:lang w:val="fr-FR"/>
        </w:rPr>
        <w:t>e</w:t>
      </w:r>
      <w:r w:rsidRPr="005F508E">
        <w:rPr>
          <w:rFonts w:cs="Arial"/>
          <w:iCs/>
          <w:lang w:val="fr-FR"/>
        </w:rPr>
        <w:t xml:space="preserve"> année d’Assistant dans l’industrie alimentaire a été démarrée avec 5 élèves.</w:t>
      </w:r>
    </w:p>
    <w:p w:rsidR="001F69F7" w:rsidRPr="007F1538" w:rsidRDefault="001F69F7" w:rsidP="001F69F7">
      <w:pPr>
        <w:rPr>
          <w:rFonts w:cs="Arial"/>
          <w:i/>
          <w:iCs/>
          <w:lang w:val="fr-FR"/>
        </w:rPr>
      </w:pPr>
    </w:p>
    <w:p w:rsidR="001F69F7" w:rsidRPr="007F1538" w:rsidRDefault="005F508E" w:rsidP="00964D1A">
      <w:pPr>
        <w:rPr>
          <w:rFonts w:cs="Arial"/>
          <w:iCs/>
          <w:lang w:val="fr-FR"/>
        </w:rPr>
      </w:pPr>
      <w:r w:rsidRPr="005F508E">
        <w:rPr>
          <w:rFonts w:cs="Arial"/>
          <w:iCs/>
          <w:lang w:val="fr-FR"/>
        </w:rPr>
        <w:t>Enfin, de nombreux élèves ont suivi une formation en boulangerie.</w:t>
      </w:r>
      <w:r w:rsidR="001F69F7" w:rsidRPr="007F1538">
        <w:rPr>
          <w:rFonts w:cs="Arial"/>
          <w:iCs/>
          <w:lang w:val="fr-FR"/>
        </w:rPr>
        <w:t xml:space="preserve"> </w:t>
      </w:r>
      <w:r w:rsidRPr="005F508E">
        <w:rPr>
          <w:rFonts w:cs="Arial"/>
          <w:iCs/>
          <w:lang w:val="fr-FR"/>
        </w:rPr>
        <w:t>En Flandre, 1.258 élèves au total ont suivi une formation en boulangerie, dont 222 dans l’enseignement technique (2</w:t>
      </w:r>
      <w:r w:rsidRPr="005F508E">
        <w:rPr>
          <w:rFonts w:cs="Arial"/>
          <w:iCs/>
          <w:vertAlign w:val="superscript"/>
          <w:lang w:val="fr-FR"/>
        </w:rPr>
        <w:t>e</w:t>
      </w:r>
      <w:r w:rsidRPr="005F508E">
        <w:rPr>
          <w:rFonts w:cs="Arial"/>
          <w:iCs/>
          <w:lang w:val="fr-FR"/>
        </w:rPr>
        <w:t>, 3</w:t>
      </w:r>
      <w:r w:rsidRPr="005F508E">
        <w:rPr>
          <w:rFonts w:cs="Arial"/>
          <w:iCs/>
          <w:vertAlign w:val="superscript"/>
          <w:lang w:val="fr-FR"/>
        </w:rPr>
        <w:t>e</w:t>
      </w:r>
      <w:r w:rsidRPr="005F508E">
        <w:rPr>
          <w:rFonts w:cs="Arial"/>
          <w:iCs/>
          <w:lang w:val="fr-FR"/>
        </w:rPr>
        <w:t xml:space="preserve"> degré et 7</w:t>
      </w:r>
      <w:r w:rsidRPr="005F508E">
        <w:rPr>
          <w:rFonts w:cs="Arial"/>
          <w:iCs/>
          <w:vertAlign w:val="superscript"/>
          <w:lang w:val="fr-FR"/>
        </w:rPr>
        <w:t>e</w:t>
      </w:r>
      <w:r w:rsidRPr="005F508E">
        <w:rPr>
          <w:rFonts w:cs="Arial"/>
          <w:iCs/>
          <w:lang w:val="fr-FR"/>
        </w:rPr>
        <w:t xml:space="preserve"> année de spécialisation) et 1.036 dans l’enseignement professionnel (2</w:t>
      </w:r>
      <w:r w:rsidRPr="005F508E">
        <w:rPr>
          <w:rFonts w:cs="Arial"/>
          <w:iCs/>
          <w:vertAlign w:val="superscript"/>
          <w:lang w:val="fr-FR"/>
        </w:rPr>
        <w:t>e</w:t>
      </w:r>
      <w:r w:rsidRPr="005F508E">
        <w:rPr>
          <w:rFonts w:cs="Arial"/>
          <w:iCs/>
          <w:lang w:val="fr-FR"/>
        </w:rPr>
        <w:t>, 3</w:t>
      </w:r>
      <w:r w:rsidRPr="005F508E">
        <w:rPr>
          <w:rFonts w:cs="Arial"/>
          <w:iCs/>
          <w:vertAlign w:val="superscript"/>
          <w:lang w:val="fr-FR"/>
        </w:rPr>
        <w:t>e</w:t>
      </w:r>
      <w:r w:rsidRPr="005F508E">
        <w:rPr>
          <w:rFonts w:cs="Arial"/>
          <w:iCs/>
          <w:lang w:val="fr-FR"/>
        </w:rPr>
        <w:t xml:space="preserve"> degré et 7</w:t>
      </w:r>
      <w:r w:rsidRPr="005F508E">
        <w:rPr>
          <w:rFonts w:cs="Arial"/>
          <w:iCs/>
          <w:vertAlign w:val="superscript"/>
          <w:lang w:val="fr-FR"/>
        </w:rPr>
        <w:t>e</w:t>
      </w:r>
      <w:r w:rsidRPr="005F508E">
        <w:rPr>
          <w:rFonts w:cs="Arial"/>
          <w:iCs/>
          <w:lang w:val="fr-FR"/>
        </w:rPr>
        <w:t xml:space="preserve"> année de spécialisation).</w:t>
      </w:r>
      <w:r w:rsidR="001F69F7" w:rsidRPr="007F1538">
        <w:rPr>
          <w:rFonts w:cs="Arial"/>
          <w:iCs/>
          <w:lang w:val="fr-FR"/>
        </w:rPr>
        <w:t xml:space="preserve"> </w:t>
      </w:r>
      <w:r w:rsidRPr="005F508E">
        <w:rPr>
          <w:rFonts w:cs="Arial"/>
          <w:iCs/>
          <w:lang w:val="fr-FR"/>
        </w:rPr>
        <w:t>En communauté française, on dénombrait 325 élèves dans cette orientation durant l'année scolaire 2009-2010.</w:t>
      </w:r>
    </w:p>
    <w:p w:rsidR="001F69F7" w:rsidRPr="007F1538" w:rsidRDefault="001F69F7" w:rsidP="001F69F7">
      <w:pPr>
        <w:rPr>
          <w:rFonts w:cs="Arial"/>
          <w:iCs/>
          <w:lang w:val="fr-FR"/>
        </w:rPr>
      </w:pPr>
    </w:p>
    <w:p w:rsidR="00FE4279" w:rsidRPr="007F1538" w:rsidRDefault="007A50E0" w:rsidP="00FE4279">
      <w:pPr>
        <w:rPr>
          <w:rFonts w:cs="Arial"/>
          <w:lang w:val="fr-FR"/>
        </w:rPr>
      </w:pPr>
      <w:r>
        <w:rPr>
          <w:rFonts w:cs="Arial"/>
          <w:lang w:val="fr-FR"/>
        </w:rPr>
        <w:t>Tableau 12</w:t>
      </w:r>
      <w:r w:rsidR="005F508E" w:rsidRPr="005F508E">
        <w:rPr>
          <w:rFonts w:cs="Arial"/>
          <w:lang w:val="fr-FR"/>
        </w:rPr>
        <w:t> : nombre d’enseignants qui font appel à l’offre de l’IFP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993"/>
        <w:gridCol w:w="850"/>
        <w:gridCol w:w="851"/>
        <w:gridCol w:w="850"/>
        <w:gridCol w:w="851"/>
        <w:gridCol w:w="992"/>
        <w:gridCol w:w="992"/>
        <w:gridCol w:w="1134"/>
      </w:tblGrid>
      <w:tr w:rsidR="00FE01F9" w:rsidRPr="007F1538" w:rsidTr="00FE01F9">
        <w:tc>
          <w:tcPr>
            <w:tcW w:w="1701" w:type="dxa"/>
          </w:tcPr>
          <w:p w:rsidR="00FE01F9" w:rsidRPr="007F1538" w:rsidRDefault="00FE01F9" w:rsidP="00C83789">
            <w:pPr>
              <w:jc w:val="right"/>
              <w:rPr>
                <w:rFonts w:cs="Arial"/>
                <w:lang w:val="fr-FR"/>
              </w:rPr>
            </w:pPr>
          </w:p>
        </w:tc>
        <w:tc>
          <w:tcPr>
            <w:tcW w:w="993" w:type="dxa"/>
          </w:tcPr>
          <w:p w:rsidR="00FE01F9" w:rsidRPr="007F1538" w:rsidRDefault="00FE01F9" w:rsidP="00C83789">
            <w:pPr>
              <w:rPr>
                <w:rFonts w:cs="Arial"/>
                <w:lang w:val="fr-FR"/>
              </w:rPr>
            </w:pPr>
            <w:r w:rsidRPr="007F1538">
              <w:rPr>
                <w:rFonts w:cs="Arial"/>
                <w:lang w:val="fr-FR"/>
              </w:rPr>
              <w:t>2002-</w:t>
            </w:r>
          </w:p>
          <w:p w:rsidR="00FE01F9" w:rsidRPr="007F1538" w:rsidRDefault="00FE01F9" w:rsidP="00C83789">
            <w:pPr>
              <w:jc w:val="right"/>
              <w:rPr>
                <w:rFonts w:cs="Arial"/>
                <w:lang w:val="fr-FR"/>
              </w:rPr>
            </w:pPr>
            <w:r w:rsidRPr="007F1538">
              <w:rPr>
                <w:rFonts w:cs="Arial"/>
                <w:lang w:val="fr-FR"/>
              </w:rPr>
              <w:t>2003</w:t>
            </w:r>
          </w:p>
        </w:tc>
        <w:tc>
          <w:tcPr>
            <w:tcW w:w="850" w:type="dxa"/>
          </w:tcPr>
          <w:p w:rsidR="00FE01F9" w:rsidRPr="007F1538" w:rsidRDefault="00FE01F9" w:rsidP="00C83789">
            <w:pPr>
              <w:rPr>
                <w:rFonts w:cs="Arial"/>
                <w:lang w:val="fr-FR"/>
              </w:rPr>
            </w:pPr>
            <w:r w:rsidRPr="007F1538">
              <w:rPr>
                <w:rFonts w:cs="Arial"/>
                <w:lang w:val="fr-FR"/>
              </w:rPr>
              <w:t>2003-</w:t>
            </w:r>
          </w:p>
          <w:p w:rsidR="00FE01F9" w:rsidRPr="007F1538" w:rsidRDefault="00FE01F9" w:rsidP="00C83789">
            <w:pPr>
              <w:jc w:val="right"/>
              <w:rPr>
                <w:rFonts w:cs="Arial"/>
                <w:lang w:val="fr-FR"/>
              </w:rPr>
            </w:pPr>
            <w:r w:rsidRPr="007F1538">
              <w:rPr>
                <w:rFonts w:cs="Arial"/>
                <w:lang w:val="fr-FR"/>
              </w:rPr>
              <w:t>2004</w:t>
            </w:r>
          </w:p>
        </w:tc>
        <w:tc>
          <w:tcPr>
            <w:tcW w:w="851" w:type="dxa"/>
          </w:tcPr>
          <w:p w:rsidR="00FE01F9" w:rsidRPr="007F1538" w:rsidRDefault="00FE01F9" w:rsidP="00C83789">
            <w:pPr>
              <w:rPr>
                <w:rFonts w:cs="Arial"/>
                <w:lang w:val="fr-FR"/>
              </w:rPr>
            </w:pPr>
            <w:r w:rsidRPr="007F1538">
              <w:rPr>
                <w:rFonts w:cs="Arial"/>
                <w:lang w:val="fr-FR"/>
              </w:rPr>
              <w:t>2004-</w:t>
            </w:r>
          </w:p>
          <w:p w:rsidR="00FE01F9" w:rsidRPr="007F1538" w:rsidRDefault="00FE01F9" w:rsidP="00C83789">
            <w:pPr>
              <w:jc w:val="right"/>
              <w:rPr>
                <w:rFonts w:cs="Arial"/>
                <w:lang w:val="fr-FR"/>
              </w:rPr>
            </w:pPr>
            <w:r w:rsidRPr="007F1538">
              <w:rPr>
                <w:rFonts w:cs="Arial"/>
                <w:lang w:val="fr-FR"/>
              </w:rPr>
              <w:t>2005</w:t>
            </w:r>
          </w:p>
        </w:tc>
        <w:tc>
          <w:tcPr>
            <w:tcW w:w="850" w:type="dxa"/>
          </w:tcPr>
          <w:p w:rsidR="00FE01F9" w:rsidRPr="007F1538" w:rsidRDefault="00FE01F9" w:rsidP="00C83789">
            <w:pPr>
              <w:rPr>
                <w:rFonts w:cs="Arial"/>
                <w:lang w:val="fr-FR"/>
              </w:rPr>
            </w:pPr>
            <w:r w:rsidRPr="007F1538">
              <w:rPr>
                <w:rFonts w:cs="Arial"/>
                <w:lang w:val="fr-FR"/>
              </w:rPr>
              <w:t>2005-</w:t>
            </w:r>
          </w:p>
          <w:p w:rsidR="00FE01F9" w:rsidRPr="007F1538" w:rsidRDefault="00FE01F9" w:rsidP="00C83789">
            <w:pPr>
              <w:jc w:val="right"/>
              <w:rPr>
                <w:rFonts w:cs="Arial"/>
                <w:lang w:val="fr-FR"/>
              </w:rPr>
            </w:pPr>
            <w:r w:rsidRPr="007F1538">
              <w:rPr>
                <w:rFonts w:cs="Arial"/>
                <w:lang w:val="fr-FR"/>
              </w:rPr>
              <w:t>2006</w:t>
            </w:r>
          </w:p>
        </w:tc>
        <w:tc>
          <w:tcPr>
            <w:tcW w:w="851" w:type="dxa"/>
          </w:tcPr>
          <w:p w:rsidR="00FE01F9" w:rsidRPr="007F1538" w:rsidRDefault="00FE01F9" w:rsidP="00C83789">
            <w:pPr>
              <w:rPr>
                <w:rFonts w:cs="Arial"/>
                <w:lang w:val="fr-FR"/>
              </w:rPr>
            </w:pPr>
            <w:r w:rsidRPr="007F1538">
              <w:rPr>
                <w:rFonts w:cs="Arial"/>
                <w:lang w:val="fr-FR"/>
              </w:rPr>
              <w:t>2006-</w:t>
            </w:r>
          </w:p>
          <w:p w:rsidR="00FE01F9" w:rsidRPr="007F1538" w:rsidRDefault="00FE01F9" w:rsidP="00C83789">
            <w:pPr>
              <w:jc w:val="right"/>
              <w:rPr>
                <w:rFonts w:cs="Arial"/>
                <w:lang w:val="fr-FR"/>
              </w:rPr>
            </w:pPr>
            <w:r w:rsidRPr="007F1538">
              <w:rPr>
                <w:rFonts w:cs="Arial"/>
                <w:lang w:val="fr-FR"/>
              </w:rPr>
              <w:t>2007</w:t>
            </w:r>
          </w:p>
        </w:tc>
        <w:tc>
          <w:tcPr>
            <w:tcW w:w="992" w:type="dxa"/>
          </w:tcPr>
          <w:p w:rsidR="00FE01F9" w:rsidRPr="007F1538" w:rsidRDefault="00FE01F9" w:rsidP="00FE01F9">
            <w:pPr>
              <w:rPr>
                <w:rFonts w:cs="Arial"/>
                <w:lang w:val="fr-FR"/>
              </w:rPr>
            </w:pPr>
            <w:r w:rsidRPr="007F1538">
              <w:rPr>
                <w:rFonts w:cs="Arial"/>
                <w:lang w:val="fr-FR"/>
              </w:rPr>
              <w:t>2007-                  2008</w:t>
            </w:r>
          </w:p>
        </w:tc>
        <w:tc>
          <w:tcPr>
            <w:tcW w:w="992" w:type="dxa"/>
          </w:tcPr>
          <w:p w:rsidR="00FE01F9" w:rsidRPr="007F1538" w:rsidRDefault="00FE01F9" w:rsidP="00FE01F9">
            <w:pPr>
              <w:rPr>
                <w:rFonts w:cs="Arial"/>
                <w:lang w:val="fr-FR"/>
              </w:rPr>
            </w:pPr>
            <w:r w:rsidRPr="007F1538">
              <w:rPr>
                <w:rFonts w:cs="Arial"/>
                <w:lang w:val="fr-FR"/>
              </w:rPr>
              <w:t>2008-2009</w:t>
            </w:r>
          </w:p>
        </w:tc>
        <w:tc>
          <w:tcPr>
            <w:tcW w:w="1134" w:type="dxa"/>
          </w:tcPr>
          <w:p w:rsidR="00FE01F9" w:rsidRPr="007F1538" w:rsidRDefault="00FE01F9" w:rsidP="00C83789">
            <w:pPr>
              <w:rPr>
                <w:rFonts w:cs="Arial"/>
                <w:lang w:val="fr-FR"/>
              </w:rPr>
            </w:pPr>
            <w:r w:rsidRPr="007F1538">
              <w:rPr>
                <w:rFonts w:cs="Arial"/>
                <w:lang w:val="fr-FR"/>
              </w:rPr>
              <w:t>2009-2010</w:t>
            </w:r>
          </w:p>
        </w:tc>
      </w:tr>
      <w:tr w:rsidR="00FE01F9" w:rsidRPr="007F1538" w:rsidTr="00FE01F9">
        <w:tc>
          <w:tcPr>
            <w:tcW w:w="1701" w:type="dxa"/>
          </w:tcPr>
          <w:p w:rsidR="00FE01F9" w:rsidRPr="007F1538" w:rsidRDefault="005F508E" w:rsidP="00690B4E">
            <w:pPr>
              <w:spacing w:before="60"/>
              <w:rPr>
                <w:rFonts w:cs="Arial"/>
                <w:lang w:val="fr-FR"/>
              </w:rPr>
            </w:pPr>
            <w:r w:rsidRPr="005F508E">
              <w:rPr>
                <w:rFonts w:cs="Arial"/>
                <w:lang w:val="fr-FR"/>
              </w:rPr>
              <w:t>Nombre d’enseignants</w:t>
            </w:r>
          </w:p>
        </w:tc>
        <w:tc>
          <w:tcPr>
            <w:tcW w:w="993" w:type="dxa"/>
          </w:tcPr>
          <w:p w:rsidR="00FE01F9" w:rsidRPr="007F1538" w:rsidRDefault="00BC004F" w:rsidP="00FE01F9">
            <w:pPr>
              <w:spacing w:before="60"/>
              <w:jc w:val="center"/>
              <w:rPr>
                <w:rFonts w:cs="Arial"/>
                <w:lang w:val="fr-FR"/>
              </w:rPr>
            </w:pPr>
            <w:r w:rsidRPr="007F1538">
              <w:rPr>
                <w:rFonts w:cs="Arial"/>
                <w:lang w:val="fr-FR"/>
              </w:rPr>
              <w:t>60</w:t>
            </w:r>
          </w:p>
        </w:tc>
        <w:tc>
          <w:tcPr>
            <w:tcW w:w="850" w:type="dxa"/>
          </w:tcPr>
          <w:p w:rsidR="00FE01F9" w:rsidRPr="007F1538" w:rsidRDefault="00BC004F" w:rsidP="00FE01F9">
            <w:pPr>
              <w:spacing w:before="60"/>
              <w:jc w:val="center"/>
              <w:rPr>
                <w:rFonts w:cs="Arial"/>
                <w:lang w:val="fr-FR"/>
              </w:rPr>
            </w:pPr>
            <w:r w:rsidRPr="007F1538">
              <w:rPr>
                <w:rFonts w:cs="Arial"/>
                <w:lang w:val="fr-FR"/>
              </w:rPr>
              <w:t>118</w:t>
            </w:r>
          </w:p>
        </w:tc>
        <w:tc>
          <w:tcPr>
            <w:tcW w:w="851" w:type="dxa"/>
          </w:tcPr>
          <w:p w:rsidR="00FE01F9" w:rsidRPr="007F1538" w:rsidRDefault="00BC004F" w:rsidP="00FE01F9">
            <w:pPr>
              <w:spacing w:before="60"/>
              <w:jc w:val="center"/>
              <w:rPr>
                <w:rFonts w:cs="Arial"/>
                <w:lang w:val="fr-FR"/>
              </w:rPr>
            </w:pPr>
            <w:r w:rsidRPr="007F1538">
              <w:rPr>
                <w:rFonts w:cs="Arial"/>
                <w:lang w:val="fr-FR"/>
              </w:rPr>
              <w:t>116</w:t>
            </w:r>
          </w:p>
        </w:tc>
        <w:tc>
          <w:tcPr>
            <w:tcW w:w="850" w:type="dxa"/>
          </w:tcPr>
          <w:p w:rsidR="00FE01F9" w:rsidRPr="007F1538" w:rsidRDefault="00BC004F" w:rsidP="00FE01F9">
            <w:pPr>
              <w:spacing w:before="60"/>
              <w:jc w:val="center"/>
              <w:rPr>
                <w:rFonts w:cs="Arial"/>
                <w:lang w:val="fr-FR"/>
              </w:rPr>
            </w:pPr>
            <w:r w:rsidRPr="007F1538">
              <w:rPr>
                <w:rFonts w:cs="Arial"/>
                <w:lang w:val="fr-FR"/>
              </w:rPr>
              <w:t>47</w:t>
            </w:r>
          </w:p>
        </w:tc>
        <w:tc>
          <w:tcPr>
            <w:tcW w:w="851" w:type="dxa"/>
          </w:tcPr>
          <w:p w:rsidR="00FE01F9" w:rsidRPr="007F1538" w:rsidRDefault="00BC004F" w:rsidP="00FE01F9">
            <w:pPr>
              <w:spacing w:before="60"/>
              <w:jc w:val="center"/>
              <w:rPr>
                <w:rFonts w:cs="Arial"/>
                <w:lang w:val="fr-FR"/>
              </w:rPr>
            </w:pPr>
            <w:r w:rsidRPr="007F1538">
              <w:rPr>
                <w:rFonts w:cs="Arial"/>
                <w:lang w:val="fr-FR"/>
              </w:rPr>
              <w:t>66</w:t>
            </w:r>
          </w:p>
        </w:tc>
        <w:tc>
          <w:tcPr>
            <w:tcW w:w="992" w:type="dxa"/>
          </w:tcPr>
          <w:p w:rsidR="00FE01F9" w:rsidRPr="007F1538" w:rsidRDefault="00BC004F" w:rsidP="00FE01F9">
            <w:pPr>
              <w:spacing w:before="60"/>
              <w:jc w:val="center"/>
              <w:rPr>
                <w:rFonts w:cs="Arial"/>
                <w:lang w:val="fr-FR"/>
              </w:rPr>
            </w:pPr>
            <w:r w:rsidRPr="007F1538">
              <w:rPr>
                <w:rFonts w:cs="Arial"/>
                <w:lang w:val="fr-FR"/>
              </w:rPr>
              <w:t>160</w:t>
            </w:r>
          </w:p>
        </w:tc>
        <w:tc>
          <w:tcPr>
            <w:tcW w:w="992" w:type="dxa"/>
          </w:tcPr>
          <w:p w:rsidR="00FE01F9" w:rsidRPr="007F1538" w:rsidRDefault="00BC004F" w:rsidP="00FE01F9">
            <w:pPr>
              <w:spacing w:before="60"/>
              <w:jc w:val="center"/>
              <w:rPr>
                <w:rFonts w:cs="Arial"/>
                <w:lang w:val="fr-FR"/>
              </w:rPr>
            </w:pPr>
            <w:r w:rsidRPr="007F1538">
              <w:rPr>
                <w:rFonts w:cs="Arial"/>
                <w:lang w:val="fr-FR"/>
              </w:rPr>
              <w:t>472</w:t>
            </w:r>
          </w:p>
        </w:tc>
        <w:tc>
          <w:tcPr>
            <w:tcW w:w="1134" w:type="dxa"/>
          </w:tcPr>
          <w:p w:rsidR="00FE01F9" w:rsidRPr="007F1538" w:rsidRDefault="00BC004F" w:rsidP="00FE01F9">
            <w:pPr>
              <w:spacing w:before="60"/>
              <w:jc w:val="center"/>
              <w:rPr>
                <w:rFonts w:cs="Arial"/>
                <w:lang w:val="fr-FR"/>
              </w:rPr>
            </w:pPr>
            <w:r w:rsidRPr="007F1538">
              <w:rPr>
                <w:rFonts w:cs="Arial"/>
                <w:lang w:val="fr-FR"/>
              </w:rPr>
              <w:t>377</w:t>
            </w:r>
          </w:p>
        </w:tc>
      </w:tr>
    </w:tbl>
    <w:p w:rsidR="00FE4279" w:rsidRPr="007F1538" w:rsidRDefault="00FE4279" w:rsidP="001F69F7">
      <w:pPr>
        <w:rPr>
          <w:rFonts w:cs="Arial"/>
          <w:iCs/>
          <w:lang w:val="fr-FR"/>
        </w:rPr>
      </w:pPr>
    </w:p>
    <w:p w:rsidR="00FE4279" w:rsidRPr="007F1538" w:rsidRDefault="00FE4279" w:rsidP="0033423D">
      <w:pPr>
        <w:rPr>
          <w:rFonts w:cs="Arial"/>
          <w:iCs/>
          <w:lang w:val="fr-FR"/>
        </w:rPr>
      </w:pPr>
    </w:p>
    <w:p w:rsidR="001F69F7" w:rsidRPr="007F1538" w:rsidRDefault="005F508E" w:rsidP="0033423D">
      <w:pPr>
        <w:rPr>
          <w:rFonts w:cs="Arial"/>
          <w:iCs/>
          <w:lang w:val="fr-FR"/>
        </w:rPr>
      </w:pPr>
      <w:r w:rsidRPr="005F508E">
        <w:rPr>
          <w:rFonts w:cs="Arial"/>
          <w:iCs/>
          <w:lang w:val="fr-FR"/>
        </w:rPr>
        <w:t>En 2009-2010, des formations ont également été proposées à des enseignants tant du plein exercice que de l’alternance, qui donnent des cours dans des orientations spécifiques à l'alimentation.</w:t>
      </w:r>
      <w:r w:rsidR="001F69F7" w:rsidRPr="007F1538">
        <w:rPr>
          <w:rFonts w:cs="Arial"/>
          <w:iCs/>
          <w:lang w:val="fr-FR"/>
        </w:rPr>
        <w:t xml:space="preserve"> </w:t>
      </w:r>
      <w:r w:rsidRPr="005F508E">
        <w:rPr>
          <w:rFonts w:cs="Arial"/>
          <w:iCs/>
          <w:lang w:val="fr-FR"/>
        </w:rPr>
        <w:t xml:space="preserve">Au total, 377 enseignants ont suivi des sessions sur un ou plusieurs </w:t>
      </w:r>
      <w:r w:rsidR="00CF347C">
        <w:rPr>
          <w:rFonts w:cs="Arial"/>
          <w:iCs/>
          <w:lang w:val="fr-FR"/>
        </w:rPr>
        <w:t xml:space="preserve">des </w:t>
      </w:r>
      <w:r w:rsidRPr="005F508E">
        <w:rPr>
          <w:rFonts w:cs="Arial"/>
          <w:iCs/>
          <w:lang w:val="fr-FR"/>
        </w:rPr>
        <w:t>sujets suivants :</w:t>
      </w:r>
      <w:r w:rsidR="001F69F7" w:rsidRPr="007F1538">
        <w:rPr>
          <w:rFonts w:cs="Arial"/>
          <w:iCs/>
          <w:lang w:val="fr-FR"/>
        </w:rPr>
        <w:t xml:space="preserve"> </w:t>
      </w:r>
      <w:r w:rsidRPr="005F508E">
        <w:rPr>
          <w:rFonts w:cs="Arial"/>
          <w:iCs/>
          <w:lang w:val="fr-FR"/>
        </w:rPr>
        <w:t>sécurité alimentaire de A à Z, HACCP et politique de qualité dans la pratique, ergonomie dans l’industrie alimentaire, matériaux d’emballage, additifs fonctionnels, …</w:t>
      </w:r>
      <w:r w:rsidR="009B1993" w:rsidRPr="007F1538">
        <w:rPr>
          <w:rFonts w:cs="Arial"/>
          <w:iCs/>
          <w:lang w:val="fr-FR"/>
        </w:rPr>
        <w:t xml:space="preserve"> </w:t>
      </w:r>
      <w:r w:rsidRPr="005F508E">
        <w:rPr>
          <w:rFonts w:cs="Arial"/>
          <w:iCs/>
          <w:lang w:val="fr-FR"/>
        </w:rPr>
        <w:t>Bien que l’offre ait été étendue et soit mieux connue dans l'enseignement, ce chiffre représente tout de même une baisse de</w:t>
      </w:r>
      <w:r w:rsidR="000D04F7">
        <w:rPr>
          <w:rFonts w:cs="Arial"/>
          <w:iCs/>
          <w:lang w:val="fr-FR"/>
        </w:rPr>
        <w:t xml:space="preserve"> 20% par rapport à 2008.</w:t>
      </w:r>
    </w:p>
    <w:p w:rsidR="00A21ED1" w:rsidRPr="007F1538" w:rsidRDefault="00A21ED1" w:rsidP="00A21ED1">
      <w:pPr>
        <w:rPr>
          <w:rFonts w:cs="Arial"/>
          <w:lang w:val="fr-FR"/>
        </w:rPr>
      </w:pPr>
    </w:p>
    <w:p w:rsidR="00A21ED1" w:rsidRPr="007F1538" w:rsidRDefault="00A21ED1" w:rsidP="00A21ED1">
      <w:pPr>
        <w:rPr>
          <w:rFonts w:cs="Arial"/>
          <w:color w:val="000000"/>
          <w:lang w:val="fr-FR"/>
        </w:rPr>
      </w:pPr>
    </w:p>
    <w:p w:rsidR="00A21ED1" w:rsidRPr="007F1538" w:rsidRDefault="00A21ED1" w:rsidP="005F508E">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highlight w:val="yellow"/>
          <w:lang w:val="fr-FR"/>
        </w:rPr>
      </w:pPr>
    </w:p>
    <w:p w:rsidR="00A21ED1" w:rsidRPr="007F1538" w:rsidRDefault="00A21ED1" w:rsidP="005F508E">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i/>
          <w:color w:val="000000"/>
          <w:lang w:val="fr-FR"/>
        </w:rPr>
        <w:t xml:space="preserve"> </w:t>
      </w:r>
      <w:r w:rsidR="005F508E" w:rsidRPr="005F508E">
        <w:rPr>
          <w:rFonts w:cs="Arial"/>
          <w:b/>
          <w:i/>
          <w:color w:val="000000"/>
          <w:shd w:val="pct70" w:color="FFFFFF" w:fill="auto"/>
          <w:lang w:val="fr-FR"/>
        </w:rPr>
        <w:t>*** 20 ans de l’IFP ***</w:t>
      </w:r>
    </w:p>
    <w:p w:rsidR="00A21ED1" w:rsidRPr="007F1538" w:rsidRDefault="00A21ED1" w:rsidP="005F508E">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A21ED1" w:rsidRPr="007F1538" w:rsidRDefault="005F508E" w:rsidP="005F508E">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5F508E">
        <w:rPr>
          <w:rFonts w:cs="Arial"/>
          <w:b/>
          <w:i/>
          <w:color w:val="000000"/>
          <w:shd w:val="pct70" w:color="FFFFFF" w:fill="auto"/>
          <w:lang w:val="fr-FR"/>
        </w:rPr>
        <w:t>Relation durable avec l'enseignement</w:t>
      </w:r>
    </w:p>
    <w:p w:rsidR="00A21ED1" w:rsidRPr="007F1538" w:rsidRDefault="00A21ED1" w:rsidP="005F508E">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p>
    <w:p w:rsidR="00392640" w:rsidRPr="007F1538" w:rsidRDefault="00A21ED1" w:rsidP="005F508E">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7F1538">
        <w:rPr>
          <w:rFonts w:cs="Arial"/>
          <w:i/>
          <w:color w:val="000000"/>
          <w:lang w:val="fr-FR"/>
        </w:rPr>
        <w:t>***</w:t>
      </w:r>
    </w:p>
    <w:p w:rsidR="00392640" w:rsidRPr="007F1538" w:rsidRDefault="005F508E" w:rsidP="005F508E">
      <w:pPr>
        <w:pBdr>
          <w:top w:val="single" w:sz="4" w:space="1" w:color="auto"/>
          <w:left w:val="single" w:sz="4" w:space="1" w:color="auto"/>
          <w:bottom w:val="single" w:sz="4" w:space="1" w:color="auto"/>
          <w:right w:val="single" w:sz="4" w:space="1" w:color="auto"/>
        </w:pBdr>
        <w:rPr>
          <w:lang w:val="fr-FR"/>
        </w:rPr>
      </w:pPr>
      <w:r w:rsidRPr="005F508E">
        <w:rPr>
          <w:lang w:val="fr-FR"/>
        </w:rPr>
        <w:t>La collaboration avec l’enseignement a toujours été une priorité des partenaires sociaux de l’industrie alimentaire afin de générer un afflux suffisant, afin de stimuler de bonnes qualifications de départ pour les futurs travailleurs.</w:t>
      </w:r>
      <w:r w:rsidR="00392640" w:rsidRPr="007F1538">
        <w:rPr>
          <w:lang w:val="fr-FR"/>
        </w:rPr>
        <w:t xml:space="preserve"> </w:t>
      </w:r>
      <w:r w:rsidRPr="005F508E">
        <w:rPr>
          <w:lang w:val="fr-FR"/>
        </w:rPr>
        <w:t>En vingt ans, le fonctionnement a été fortement élargi.</w:t>
      </w:r>
    </w:p>
    <w:p w:rsidR="00392640" w:rsidRPr="007F1538" w:rsidRDefault="00392640" w:rsidP="005F508E">
      <w:pPr>
        <w:pBdr>
          <w:top w:val="single" w:sz="4" w:space="2" w:color="C0C0C0"/>
          <w:left w:val="single" w:sz="4" w:space="2" w:color="C0C0C0"/>
          <w:bottom w:val="single" w:sz="4" w:space="2" w:color="C0C0C0"/>
          <w:right w:val="single" w:sz="4" w:space="2" w:color="C0C0C0"/>
        </w:pBdr>
        <w:shd w:val="pct70" w:color="FFFFFF" w:fill="C0C0C0"/>
        <w:rPr>
          <w:lang w:val="fr-FR"/>
        </w:rPr>
      </w:pPr>
    </w:p>
    <w:p w:rsidR="00A21ED1" w:rsidRPr="007F1538" w:rsidRDefault="005F508E" w:rsidP="005F508E">
      <w:pPr>
        <w:pBdr>
          <w:top w:val="single" w:sz="4" w:space="2" w:color="C0C0C0"/>
          <w:left w:val="single" w:sz="4" w:space="2" w:color="C0C0C0"/>
          <w:bottom w:val="single" w:sz="4" w:space="2" w:color="C0C0C0"/>
          <w:right w:val="single" w:sz="4" w:space="2" w:color="C0C0C0"/>
        </w:pBdr>
        <w:shd w:val="pct70" w:color="FFFFFF" w:fill="C0C0C0"/>
        <w:rPr>
          <w:lang w:val="fr-FR"/>
        </w:rPr>
      </w:pPr>
      <w:r w:rsidRPr="005F508E">
        <w:rPr>
          <w:lang w:val="fr-FR"/>
        </w:rPr>
        <w:t>Alors que l’IFP a tout d’abord commencé avec un système de primes destiné à soutenir l’apprentissage en alternance, le système d’apprentissage de l’IFP s’est sensiblement étendu depuis plusieurs années. :</w:t>
      </w:r>
      <w:r w:rsidR="00A21ED1" w:rsidRPr="007F1538">
        <w:rPr>
          <w:lang w:val="fr-FR"/>
        </w:rPr>
        <w:t xml:space="preserve"> </w:t>
      </w:r>
      <w:r w:rsidRPr="005F508E">
        <w:rPr>
          <w:lang w:val="fr-FR"/>
        </w:rPr>
        <w:t xml:space="preserve">la fourniture d’expertise lors de l’élaboration concrète d’orientation d’études, des investissements dans l’infrastructure, l’organisation de recyclages/stages pour les enseignants et les accompagnants, la médiation de place de stage et d’expérience professionnelle pour les apprentis, le </w:t>
      </w:r>
      <w:r w:rsidRPr="005F508E">
        <w:rPr>
          <w:lang w:val="fr-FR"/>
        </w:rPr>
        <w:lastRenderedPageBreak/>
        <w:t>développement d’instruments pour en favoriser la qualité, le soutien de campagne de communication et de visites d’entreprise,…</w:t>
      </w:r>
      <w:r w:rsidR="00A21ED1" w:rsidRPr="007F1538">
        <w:rPr>
          <w:lang w:val="fr-FR"/>
        </w:rPr>
        <w:t xml:space="preserve"> </w:t>
      </w:r>
    </w:p>
    <w:p w:rsidR="00A21ED1" w:rsidRPr="007F1538" w:rsidRDefault="00A21ED1" w:rsidP="005F508E">
      <w:pPr>
        <w:pBdr>
          <w:top w:val="single" w:sz="4" w:space="2" w:color="C0C0C0"/>
          <w:left w:val="single" w:sz="4" w:space="2" w:color="C0C0C0"/>
          <w:bottom w:val="single" w:sz="4" w:space="2" w:color="C0C0C0"/>
          <w:right w:val="single" w:sz="4" w:space="2" w:color="C0C0C0"/>
        </w:pBdr>
        <w:shd w:val="pct70" w:color="FFFFFF" w:fill="C0C0C0"/>
        <w:rPr>
          <w:lang w:val="fr-FR"/>
        </w:rPr>
      </w:pPr>
    </w:p>
    <w:p w:rsidR="00A91F83" w:rsidRPr="007F1538" w:rsidRDefault="005F508E" w:rsidP="005F508E">
      <w:pPr>
        <w:pBdr>
          <w:top w:val="single" w:sz="4" w:space="1" w:color="auto"/>
          <w:left w:val="single" w:sz="4" w:space="1" w:color="auto"/>
          <w:bottom w:val="single" w:sz="4" w:space="1" w:color="auto"/>
          <w:right w:val="single" w:sz="4" w:space="1" w:color="auto"/>
        </w:pBdr>
        <w:rPr>
          <w:lang w:val="fr-FR"/>
        </w:rPr>
      </w:pPr>
      <w:r w:rsidRPr="005F508E">
        <w:rPr>
          <w:lang w:val="fr-FR"/>
        </w:rPr>
        <w:t>Quelques orientations d’études spécifiques ont également été mises en place en étroite collaboration avec l’enseignement et le secteur :</w:t>
      </w:r>
      <w:r w:rsidR="00B67161">
        <w:rPr>
          <w:lang w:val="fr-FR"/>
        </w:rPr>
        <w:t xml:space="preserve"> </w:t>
      </w:r>
      <w:r w:rsidRPr="005F508E">
        <w:rPr>
          <w:lang w:val="fr-FR"/>
        </w:rPr>
        <w:t xml:space="preserve">Techniques alimentaires, Assistant </w:t>
      </w:r>
      <w:r w:rsidR="006E6B8A">
        <w:rPr>
          <w:lang w:val="fr-FR"/>
        </w:rPr>
        <w:t xml:space="preserve">et opérateur de production </w:t>
      </w:r>
      <w:r w:rsidRPr="005F508E">
        <w:rPr>
          <w:lang w:val="fr-FR"/>
        </w:rPr>
        <w:t>de l’Industrie alimentaire, Technicien des Industries Agro-Alimentaires, formations en boulangerie,…</w:t>
      </w:r>
      <w:r w:rsidR="004A6063" w:rsidRPr="007F1538">
        <w:rPr>
          <w:lang w:val="fr-FR"/>
        </w:rPr>
        <w:t xml:space="preserve"> </w:t>
      </w:r>
    </w:p>
    <w:p w:rsidR="004A6063" w:rsidRPr="007F1538" w:rsidRDefault="004A6063" w:rsidP="005F508E">
      <w:pPr>
        <w:pBdr>
          <w:top w:val="single" w:sz="4" w:space="2" w:color="C0C0C0"/>
          <w:left w:val="single" w:sz="4" w:space="2" w:color="C0C0C0"/>
          <w:bottom w:val="single" w:sz="4" w:space="2" w:color="C0C0C0"/>
          <w:right w:val="single" w:sz="4" w:space="2" w:color="C0C0C0"/>
        </w:pBdr>
        <w:shd w:val="pct70" w:color="FFFFFF" w:fill="C0C0C0"/>
        <w:rPr>
          <w:lang w:val="fr-FR"/>
        </w:rPr>
      </w:pPr>
    </w:p>
    <w:p w:rsidR="00A91F83" w:rsidRPr="007F1538" w:rsidRDefault="005F508E" w:rsidP="005F508E">
      <w:pPr>
        <w:pBdr>
          <w:top w:val="single" w:sz="4" w:space="2" w:color="C0C0C0"/>
          <w:left w:val="single" w:sz="4" w:space="2" w:color="C0C0C0"/>
          <w:bottom w:val="single" w:sz="4" w:space="2" w:color="C0C0C0"/>
          <w:right w:val="single" w:sz="4" w:space="2" w:color="C0C0C0"/>
        </w:pBdr>
        <w:shd w:val="pct70" w:color="FFFFFF" w:fill="C0C0C0"/>
        <w:rPr>
          <w:lang w:val="fr-FR"/>
        </w:rPr>
      </w:pPr>
      <w:r w:rsidRPr="005F508E">
        <w:rPr>
          <w:lang w:val="fr-FR"/>
        </w:rPr>
        <w:t>Pour un aperçu du système d’enseignement de l’IFP :</w:t>
      </w:r>
      <w:r w:rsidR="009F1F4B" w:rsidRPr="007F1538">
        <w:rPr>
          <w:lang w:val="fr-FR"/>
        </w:rPr>
        <w:t xml:space="preserve"> </w:t>
      </w:r>
      <w:r w:rsidRPr="005F508E">
        <w:rPr>
          <w:shd w:val="pct70" w:color="FFFFFF" w:fill="auto"/>
          <w:lang w:val="fr-FR"/>
        </w:rPr>
        <w:t>enseignement.ipv-ifp.be.</w:t>
      </w:r>
    </w:p>
    <w:p w:rsidR="00192B1C" w:rsidRPr="007F1538" w:rsidRDefault="00192B1C" w:rsidP="005F508E">
      <w:pPr>
        <w:pBdr>
          <w:top w:val="single" w:sz="4" w:space="2" w:color="C0C0C0"/>
          <w:left w:val="single" w:sz="4" w:space="2" w:color="C0C0C0"/>
          <w:bottom w:val="single" w:sz="4" w:space="2" w:color="C0C0C0"/>
          <w:right w:val="single" w:sz="4" w:space="2" w:color="C0C0C0"/>
        </w:pBdr>
        <w:shd w:val="pct70" w:color="FFFFFF" w:fill="C0C0C0"/>
        <w:rPr>
          <w:lang w:val="fr-FR"/>
        </w:rPr>
      </w:pPr>
    </w:p>
    <w:p w:rsidR="00A21ED1" w:rsidRPr="007F1538" w:rsidRDefault="00A21ED1" w:rsidP="00A21ED1">
      <w:pPr>
        <w:rPr>
          <w:rFonts w:cs="Arial"/>
          <w:lang w:val="fr-FR"/>
        </w:rPr>
      </w:pPr>
    </w:p>
    <w:p w:rsidR="00A21ED1" w:rsidRPr="007F1538" w:rsidRDefault="00A21ED1" w:rsidP="0033423D">
      <w:pPr>
        <w:rPr>
          <w:rFonts w:cs="Arial"/>
          <w:iCs/>
          <w:lang w:val="fr-FR"/>
        </w:rPr>
      </w:pPr>
    </w:p>
    <w:p w:rsidR="00274E1F" w:rsidRPr="007F1538" w:rsidRDefault="005F508E" w:rsidP="005F508E">
      <w:pPr>
        <w:pStyle w:val="Heading3"/>
        <w:rPr>
          <w:lang w:val="fr-FR"/>
        </w:rPr>
      </w:pPr>
      <w:bookmarkStart w:id="49" w:name="_Toc267060126"/>
      <w:bookmarkStart w:id="50" w:name="_Toc269220680"/>
      <w:r w:rsidRPr="005F508E">
        <w:rPr>
          <w:lang w:val="fr-FR"/>
        </w:rPr>
        <w:t>Les élèves découvrent les métiers de l’industrie alimentaire</w:t>
      </w:r>
      <w:bookmarkEnd w:id="49"/>
      <w:bookmarkEnd w:id="50"/>
    </w:p>
    <w:p w:rsidR="00274E1F" w:rsidRPr="007F1538" w:rsidRDefault="005F508E" w:rsidP="00274E1F">
      <w:pPr>
        <w:rPr>
          <w:rFonts w:cs="Arial"/>
          <w:lang w:val="fr-FR"/>
        </w:rPr>
      </w:pPr>
      <w:r w:rsidRPr="005F508E">
        <w:rPr>
          <w:rFonts w:cs="Arial"/>
          <w:lang w:val="fr-FR"/>
        </w:rPr>
        <w:t>En collaboration avec l’IFAPME et son réseau de centres de formation en Wallonie, l’IFP organise des stages pratiques destinés à familiariser les enfants avec quelques professions du secteur alimentaire.</w:t>
      </w:r>
      <w:r w:rsidR="00274E1F" w:rsidRPr="007F1538">
        <w:rPr>
          <w:rFonts w:cs="Arial"/>
          <w:lang w:val="fr-FR"/>
        </w:rPr>
        <w:t xml:space="preserve"> </w:t>
      </w:r>
      <w:r w:rsidRPr="005F508E">
        <w:rPr>
          <w:rFonts w:cs="Arial"/>
          <w:lang w:val="fr-FR"/>
        </w:rPr>
        <w:t xml:space="preserve">Les stages s’adressent aux jeunes </w:t>
      </w:r>
      <w:r w:rsidR="006E406E">
        <w:rPr>
          <w:rFonts w:cs="Arial"/>
          <w:lang w:val="fr-FR"/>
        </w:rPr>
        <w:t>de</w:t>
      </w:r>
      <w:r w:rsidRPr="005F508E">
        <w:rPr>
          <w:rFonts w:cs="Arial"/>
          <w:lang w:val="fr-FR"/>
        </w:rPr>
        <w:t xml:space="preserve"> 5</w:t>
      </w:r>
      <w:r w:rsidRPr="005F508E">
        <w:rPr>
          <w:rFonts w:cs="Arial"/>
          <w:vertAlign w:val="superscript"/>
          <w:lang w:val="fr-FR"/>
        </w:rPr>
        <w:t>e</w:t>
      </w:r>
      <w:r w:rsidRPr="005F508E">
        <w:rPr>
          <w:rFonts w:cs="Arial"/>
          <w:lang w:val="fr-FR"/>
        </w:rPr>
        <w:t xml:space="preserve"> et 6</w:t>
      </w:r>
      <w:r w:rsidRPr="005F508E">
        <w:rPr>
          <w:rFonts w:cs="Arial"/>
          <w:vertAlign w:val="superscript"/>
          <w:lang w:val="fr-FR"/>
        </w:rPr>
        <w:t>e</w:t>
      </w:r>
      <w:r w:rsidRPr="005F508E">
        <w:rPr>
          <w:rFonts w:cs="Arial"/>
          <w:lang w:val="fr-FR"/>
        </w:rPr>
        <w:t xml:space="preserve"> années d’enseignement primaire et aux élèves des 1</w:t>
      </w:r>
      <w:r w:rsidRPr="005F508E">
        <w:rPr>
          <w:rFonts w:cs="Arial"/>
          <w:vertAlign w:val="superscript"/>
          <w:lang w:val="fr-FR"/>
        </w:rPr>
        <w:t>ère</w:t>
      </w:r>
      <w:r w:rsidRPr="005F508E">
        <w:rPr>
          <w:rFonts w:cs="Arial"/>
          <w:lang w:val="fr-FR"/>
        </w:rPr>
        <w:t xml:space="preserve"> et 2</w:t>
      </w:r>
      <w:r w:rsidRPr="005F508E">
        <w:rPr>
          <w:rFonts w:cs="Arial"/>
          <w:vertAlign w:val="superscript"/>
          <w:lang w:val="fr-FR"/>
        </w:rPr>
        <w:t>e</w:t>
      </w:r>
      <w:r w:rsidRPr="005F508E">
        <w:rPr>
          <w:rFonts w:cs="Arial"/>
          <w:lang w:val="fr-FR"/>
        </w:rPr>
        <w:t xml:space="preserve"> années de l’enseignement secondaire qui souhaitent découvrir ces professions de manière ludique.</w:t>
      </w:r>
      <w:r w:rsidR="00274E1F" w:rsidRPr="007F1538">
        <w:rPr>
          <w:rFonts w:cs="Arial"/>
          <w:lang w:val="fr-FR"/>
        </w:rPr>
        <w:t xml:space="preserve"> </w:t>
      </w:r>
      <w:r w:rsidRPr="005F508E">
        <w:rPr>
          <w:rFonts w:cs="Arial"/>
          <w:lang w:val="fr-FR"/>
        </w:rPr>
        <w:t>En 2009, plus de 458 enfants ont ainsi découvert plusieurs métiers artisanaux de l’alimentation tels que boucher, boulanger, pâtissier, chocolatier, glac</w:t>
      </w:r>
      <w:r w:rsidR="006E406E">
        <w:rPr>
          <w:rFonts w:cs="Arial"/>
          <w:lang w:val="fr-FR"/>
        </w:rPr>
        <w:t>ier</w:t>
      </w:r>
      <w:r w:rsidRPr="005F508E">
        <w:rPr>
          <w:rFonts w:cs="Arial"/>
          <w:lang w:val="fr-FR"/>
        </w:rPr>
        <w:t xml:space="preserve"> ou charcutier.</w:t>
      </w:r>
    </w:p>
    <w:p w:rsidR="004A6063" w:rsidRPr="007F1538" w:rsidRDefault="004A6063" w:rsidP="00274E1F">
      <w:pPr>
        <w:rPr>
          <w:rFonts w:cs="Arial"/>
          <w:lang w:val="fr-FR"/>
        </w:rPr>
      </w:pPr>
    </w:p>
    <w:p w:rsidR="004A6063" w:rsidRPr="007F1538" w:rsidRDefault="005F508E" w:rsidP="00274E1F">
      <w:pPr>
        <w:rPr>
          <w:rFonts w:cs="Arial"/>
          <w:lang w:val="fr-FR"/>
        </w:rPr>
      </w:pPr>
      <w:r w:rsidRPr="005F508E">
        <w:rPr>
          <w:rFonts w:cs="Arial"/>
          <w:lang w:val="fr-FR"/>
        </w:rPr>
        <w:t>En Flandre, l’IFP collabore avec la Beroepenhuis afin de faire découvrir le secteur aux élèves.</w:t>
      </w:r>
      <w:r w:rsidR="004A6063" w:rsidRPr="007F1538">
        <w:rPr>
          <w:rFonts w:cs="Arial"/>
          <w:lang w:val="fr-FR"/>
        </w:rPr>
        <w:t xml:space="preserve"> </w:t>
      </w:r>
      <w:r w:rsidRPr="005F508E">
        <w:rPr>
          <w:rFonts w:cs="Arial"/>
          <w:lang w:val="fr-FR"/>
        </w:rPr>
        <w:t>En 2009, 233 groupes, soit 6.451 élèves au total, ont visité l'espace découverte de l’industrie alimentaire dans la maison des métiers et 38 groupes, soit 1.322 élèves au total, ont suivi un atelier sectoriel.</w:t>
      </w:r>
    </w:p>
    <w:p w:rsidR="00A73AD2" w:rsidRPr="007F1538" w:rsidRDefault="005F508E" w:rsidP="005F508E">
      <w:pPr>
        <w:pStyle w:val="Heading3"/>
        <w:rPr>
          <w:lang w:val="fr-FR"/>
        </w:rPr>
      </w:pPr>
      <w:bookmarkStart w:id="51" w:name="_Toc267060127"/>
      <w:bookmarkStart w:id="52" w:name="_Toc269220681"/>
      <w:r w:rsidRPr="005F508E">
        <w:rPr>
          <w:lang w:val="fr-FR"/>
        </w:rPr>
        <w:t>Insertion par la formation</w:t>
      </w:r>
      <w:bookmarkEnd w:id="51"/>
      <w:bookmarkEnd w:id="52"/>
      <w:r w:rsidR="0043360F" w:rsidRPr="007F1538">
        <w:rPr>
          <w:lang w:val="fr-FR"/>
        </w:rPr>
        <w:t xml:space="preserve"> </w:t>
      </w:r>
    </w:p>
    <w:p w:rsidR="00A73AD2" w:rsidRPr="007F1538" w:rsidRDefault="005F508E">
      <w:pPr>
        <w:rPr>
          <w:rFonts w:cs="Arial"/>
          <w:lang w:val="fr-FR"/>
        </w:rPr>
      </w:pPr>
      <w:r w:rsidRPr="005F508E">
        <w:rPr>
          <w:rFonts w:cs="Arial"/>
          <w:lang w:val="fr-FR"/>
        </w:rPr>
        <w:t>En 2009, 607 demandeurs d’emploi ont accompli une formation dans le cadre d’un projet destiné aux demandeurs d’emploi mis en œuvre par l’IFP et ses partenaires</w:t>
      </w:r>
      <w:r w:rsidRPr="005F508E">
        <w:rPr>
          <w:rStyle w:val="FootnoteReference"/>
          <w:rFonts w:cs="Arial"/>
          <w:lang w:val="fr-FR"/>
        </w:rPr>
        <w:footnoteReference w:id="3"/>
      </w:r>
      <w:r w:rsidRPr="005F508E">
        <w:rPr>
          <w:rFonts w:cs="Arial"/>
          <w:lang w:val="fr-FR"/>
        </w:rPr>
        <w:t>.</w:t>
      </w:r>
      <w:r w:rsidR="00A73AD2" w:rsidRPr="007F1538">
        <w:rPr>
          <w:rFonts w:cs="Arial"/>
          <w:lang w:val="fr-FR"/>
        </w:rPr>
        <w:t xml:space="preserve"> </w:t>
      </w:r>
      <w:r w:rsidR="000E2F4C">
        <w:rPr>
          <w:rFonts w:cs="Arial"/>
          <w:lang w:val="fr-FR"/>
        </w:rPr>
        <w:t>La même année</w:t>
      </w:r>
      <w:r w:rsidRPr="005F508E">
        <w:rPr>
          <w:rFonts w:cs="Arial"/>
          <w:lang w:val="fr-FR"/>
        </w:rPr>
        <w:t>, 1.670 demandeurs d'emploi ont suivi une formation par le biais de FormAlim.</w:t>
      </w:r>
      <w:r w:rsidR="008048CB" w:rsidRPr="007F1538">
        <w:rPr>
          <w:rFonts w:cs="Arial"/>
          <w:lang w:val="fr-FR"/>
        </w:rPr>
        <w:t xml:space="preserve"> </w:t>
      </w:r>
      <w:r w:rsidRPr="005F508E">
        <w:rPr>
          <w:rFonts w:cs="Arial"/>
          <w:lang w:val="fr-FR"/>
        </w:rPr>
        <w:t xml:space="preserve">409 demandeurs d’emploi ont </w:t>
      </w:r>
      <w:r w:rsidR="000E2F4C">
        <w:rPr>
          <w:rFonts w:cs="Arial"/>
          <w:lang w:val="fr-FR"/>
        </w:rPr>
        <w:t>également bénéficié</w:t>
      </w:r>
      <w:r w:rsidRPr="005F508E">
        <w:rPr>
          <w:rFonts w:cs="Arial"/>
          <w:lang w:val="fr-FR"/>
        </w:rPr>
        <w:t xml:space="preserve"> </w:t>
      </w:r>
      <w:r w:rsidR="000E2F4C">
        <w:rPr>
          <w:rFonts w:cs="Arial"/>
          <w:lang w:val="fr-FR"/>
        </w:rPr>
        <w:t>d’</w:t>
      </w:r>
      <w:r w:rsidRPr="005F508E">
        <w:rPr>
          <w:rFonts w:cs="Arial"/>
          <w:lang w:val="fr-FR"/>
        </w:rPr>
        <w:t xml:space="preserve">une formation professionnelle individuelle </w:t>
      </w:r>
      <w:r w:rsidR="000E2F4C">
        <w:rPr>
          <w:rFonts w:cs="Arial"/>
          <w:lang w:val="fr-FR"/>
        </w:rPr>
        <w:t xml:space="preserve">en entreprise </w:t>
      </w:r>
      <w:r w:rsidRPr="005F508E">
        <w:rPr>
          <w:rFonts w:cs="Arial"/>
          <w:lang w:val="fr-FR"/>
        </w:rPr>
        <w:t>(IBO via le VDAB et PFI via le Forem).</w:t>
      </w:r>
    </w:p>
    <w:p w:rsidR="00EF5FFF" w:rsidRPr="007F1538" w:rsidRDefault="00EF5FFF">
      <w:pPr>
        <w:rPr>
          <w:rFonts w:cs="Arial"/>
          <w:lang w:val="fr-FR"/>
        </w:rPr>
      </w:pPr>
    </w:p>
    <w:p w:rsidR="00A73AD2" w:rsidRPr="007F1538" w:rsidRDefault="007A50E0">
      <w:pPr>
        <w:rPr>
          <w:rFonts w:cs="Arial"/>
          <w:lang w:val="fr-FR"/>
        </w:rPr>
      </w:pPr>
      <w:r>
        <w:rPr>
          <w:rFonts w:cs="Arial"/>
          <w:lang w:val="fr-FR"/>
        </w:rPr>
        <w:t>Tableau 13</w:t>
      </w:r>
      <w:r w:rsidR="005F508E" w:rsidRPr="005F508E">
        <w:rPr>
          <w:rFonts w:cs="Arial"/>
          <w:lang w:val="fr-FR"/>
        </w:rPr>
        <w:t> : nombre de demandeurs d’emploi dans des projets de formation dans l’industrie alimentaire.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6"/>
        <w:gridCol w:w="710"/>
        <w:gridCol w:w="877"/>
        <w:gridCol w:w="1059"/>
        <w:gridCol w:w="1059"/>
        <w:gridCol w:w="1059"/>
        <w:gridCol w:w="1059"/>
        <w:gridCol w:w="1055"/>
        <w:gridCol w:w="1054"/>
      </w:tblGrid>
      <w:tr w:rsidR="009C5978" w:rsidRPr="007F1538" w:rsidTr="009C5978">
        <w:tc>
          <w:tcPr>
            <w:tcW w:w="678" w:type="pct"/>
            <w:vAlign w:val="bottom"/>
          </w:tcPr>
          <w:p w:rsidR="009C5978" w:rsidRPr="007F1538" w:rsidRDefault="009C5978">
            <w:pPr>
              <w:rPr>
                <w:rFonts w:cs="Arial"/>
                <w:lang w:val="fr-FR"/>
              </w:rPr>
            </w:pPr>
            <w:r w:rsidRPr="007F1538">
              <w:rPr>
                <w:rFonts w:cs="Arial"/>
                <w:lang w:val="fr-FR"/>
              </w:rPr>
              <w:t> </w:t>
            </w:r>
          </w:p>
        </w:tc>
        <w:tc>
          <w:tcPr>
            <w:tcW w:w="387" w:type="pct"/>
            <w:vAlign w:val="bottom"/>
          </w:tcPr>
          <w:p w:rsidR="009C5978" w:rsidRPr="007F1538" w:rsidRDefault="009C5978">
            <w:pPr>
              <w:jc w:val="center"/>
              <w:rPr>
                <w:rFonts w:cs="Arial"/>
                <w:lang w:val="fr-FR"/>
              </w:rPr>
            </w:pPr>
            <w:r w:rsidRPr="007F1538">
              <w:rPr>
                <w:rFonts w:cs="Arial"/>
                <w:lang w:val="fr-FR"/>
              </w:rPr>
              <w:t>2002</w:t>
            </w:r>
          </w:p>
        </w:tc>
        <w:tc>
          <w:tcPr>
            <w:tcW w:w="478" w:type="pct"/>
            <w:vAlign w:val="bottom"/>
          </w:tcPr>
          <w:p w:rsidR="009C5978" w:rsidRPr="007F1538" w:rsidRDefault="009C5978">
            <w:pPr>
              <w:jc w:val="center"/>
              <w:rPr>
                <w:rFonts w:cs="Arial"/>
                <w:lang w:val="fr-FR"/>
              </w:rPr>
            </w:pPr>
            <w:r w:rsidRPr="007F1538">
              <w:rPr>
                <w:rFonts w:cs="Arial"/>
                <w:lang w:val="fr-FR"/>
              </w:rPr>
              <w:t>2003</w:t>
            </w:r>
          </w:p>
        </w:tc>
        <w:tc>
          <w:tcPr>
            <w:tcW w:w="577" w:type="pct"/>
            <w:vAlign w:val="bottom"/>
          </w:tcPr>
          <w:p w:rsidR="009C5978" w:rsidRPr="007F1538" w:rsidRDefault="009C5978">
            <w:pPr>
              <w:jc w:val="center"/>
              <w:rPr>
                <w:rFonts w:cs="Arial"/>
                <w:lang w:val="fr-FR"/>
              </w:rPr>
            </w:pPr>
            <w:r w:rsidRPr="007F1538">
              <w:rPr>
                <w:rFonts w:cs="Arial"/>
                <w:lang w:val="fr-FR"/>
              </w:rPr>
              <w:t>2004</w:t>
            </w:r>
          </w:p>
        </w:tc>
        <w:tc>
          <w:tcPr>
            <w:tcW w:w="577" w:type="pct"/>
            <w:vAlign w:val="bottom"/>
          </w:tcPr>
          <w:p w:rsidR="009C5978" w:rsidRPr="007F1538" w:rsidRDefault="009C5978">
            <w:pPr>
              <w:jc w:val="center"/>
              <w:rPr>
                <w:rFonts w:cs="Arial"/>
                <w:lang w:val="fr-FR"/>
              </w:rPr>
            </w:pPr>
            <w:r w:rsidRPr="007F1538">
              <w:rPr>
                <w:rFonts w:cs="Arial"/>
                <w:lang w:val="fr-FR"/>
              </w:rPr>
              <w:t>2005</w:t>
            </w:r>
          </w:p>
        </w:tc>
        <w:tc>
          <w:tcPr>
            <w:tcW w:w="577" w:type="pct"/>
            <w:tcBorders>
              <w:bottom w:val="single" w:sz="4" w:space="0" w:color="auto"/>
            </w:tcBorders>
            <w:vAlign w:val="bottom"/>
          </w:tcPr>
          <w:p w:rsidR="009C5978" w:rsidRPr="007F1538" w:rsidRDefault="009C5978">
            <w:pPr>
              <w:jc w:val="center"/>
              <w:rPr>
                <w:rFonts w:cs="Arial"/>
                <w:lang w:val="fr-FR"/>
              </w:rPr>
            </w:pPr>
            <w:r w:rsidRPr="007F1538">
              <w:rPr>
                <w:rFonts w:cs="Arial"/>
                <w:lang w:val="fr-FR"/>
              </w:rPr>
              <w:t>2006</w:t>
            </w:r>
          </w:p>
        </w:tc>
        <w:tc>
          <w:tcPr>
            <w:tcW w:w="577" w:type="pct"/>
            <w:tcBorders>
              <w:bottom w:val="single" w:sz="4" w:space="0" w:color="auto"/>
            </w:tcBorders>
            <w:vAlign w:val="bottom"/>
          </w:tcPr>
          <w:p w:rsidR="009C5978" w:rsidRPr="007F1538" w:rsidRDefault="009C5978">
            <w:pPr>
              <w:jc w:val="center"/>
              <w:rPr>
                <w:rFonts w:cs="Arial"/>
                <w:lang w:val="fr-FR"/>
              </w:rPr>
            </w:pPr>
            <w:r w:rsidRPr="007F1538">
              <w:rPr>
                <w:rFonts w:cs="Arial"/>
                <w:lang w:val="fr-FR"/>
              </w:rPr>
              <w:t>2007</w:t>
            </w:r>
          </w:p>
        </w:tc>
        <w:tc>
          <w:tcPr>
            <w:tcW w:w="575" w:type="pct"/>
            <w:tcBorders>
              <w:bottom w:val="single" w:sz="4" w:space="0" w:color="auto"/>
            </w:tcBorders>
            <w:vAlign w:val="bottom"/>
          </w:tcPr>
          <w:p w:rsidR="009C5978" w:rsidRPr="007F1538" w:rsidRDefault="009C5978">
            <w:pPr>
              <w:jc w:val="center"/>
              <w:rPr>
                <w:rFonts w:cs="Arial"/>
                <w:lang w:val="fr-FR"/>
              </w:rPr>
            </w:pPr>
            <w:r w:rsidRPr="007F1538">
              <w:rPr>
                <w:rFonts w:cs="Arial"/>
                <w:lang w:val="fr-FR"/>
              </w:rPr>
              <w:t>2008</w:t>
            </w:r>
          </w:p>
        </w:tc>
        <w:tc>
          <w:tcPr>
            <w:tcW w:w="575" w:type="pct"/>
            <w:tcBorders>
              <w:bottom w:val="single" w:sz="4" w:space="0" w:color="auto"/>
            </w:tcBorders>
          </w:tcPr>
          <w:p w:rsidR="009C5978" w:rsidRPr="007F1538" w:rsidRDefault="009C5978">
            <w:pPr>
              <w:jc w:val="center"/>
              <w:rPr>
                <w:rFonts w:cs="Arial"/>
                <w:lang w:val="fr-FR"/>
              </w:rPr>
            </w:pPr>
            <w:r w:rsidRPr="007F1538">
              <w:rPr>
                <w:rFonts w:cs="Arial"/>
                <w:lang w:val="fr-FR"/>
              </w:rPr>
              <w:t>2009</w:t>
            </w:r>
          </w:p>
        </w:tc>
      </w:tr>
      <w:tr w:rsidR="009C5978" w:rsidRPr="007F1538" w:rsidTr="009C5978">
        <w:tc>
          <w:tcPr>
            <w:tcW w:w="678" w:type="pct"/>
            <w:vAlign w:val="center"/>
          </w:tcPr>
          <w:p w:rsidR="009C5978" w:rsidRPr="007F1538" w:rsidRDefault="005F508E" w:rsidP="00690B4E">
            <w:pPr>
              <w:rPr>
                <w:rFonts w:cs="Arial"/>
                <w:lang w:val="fr-FR"/>
              </w:rPr>
            </w:pPr>
            <w:r w:rsidRPr="005F508E">
              <w:rPr>
                <w:rFonts w:cs="Arial"/>
                <w:lang w:val="fr-FR"/>
              </w:rPr>
              <w:t>Projets de formation</w:t>
            </w:r>
          </w:p>
        </w:tc>
        <w:tc>
          <w:tcPr>
            <w:tcW w:w="387" w:type="pct"/>
            <w:vAlign w:val="center"/>
          </w:tcPr>
          <w:p w:rsidR="009C5978" w:rsidRPr="007F1538" w:rsidRDefault="009C5978">
            <w:pPr>
              <w:jc w:val="center"/>
              <w:rPr>
                <w:rFonts w:cs="Arial"/>
                <w:lang w:val="fr-FR"/>
              </w:rPr>
            </w:pPr>
            <w:r w:rsidRPr="007F1538">
              <w:rPr>
                <w:rFonts w:cs="Arial"/>
                <w:lang w:val="fr-FR"/>
              </w:rPr>
              <w:t>410</w:t>
            </w:r>
          </w:p>
        </w:tc>
        <w:tc>
          <w:tcPr>
            <w:tcW w:w="478" w:type="pct"/>
            <w:vAlign w:val="center"/>
          </w:tcPr>
          <w:p w:rsidR="009C5978" w:rsidRPr="007F1538" w:rsidRDefault="009C5978">
            <w:pPr>
              <w:jc w:val="center"/>
              <w:rPr>
                <w:rFonts w:cs="Arial"/>
                <w:lang w:val="fr-FR"/>
              </w:rPr>
            </w:pPr>
            <w:r w:rsidRPr="007F1538">
              <w:rPr>
                <w:rFonts w:cs="Arial"/>
                <w:lang w:val="fr-FR"/>
              </w:rPr>
              <w:t>325</w:t>
            </w:r>
          </w:p>
        </w:tc>
        <w:tc>
          <w:tcPr>
            <w:tcW w:w="577" w:type="pct"/>
            <w:vAlign w:val="center"/>
          </w:tcPr>
          <w:p w:rsidR="009C5978" w:rsidRPr="007F1538" w:rsidRDefault="009C5978">
            <w:pPr>
              <w:jc w:val="center"/>
              <w:rPr>
                <w:rFonts w:cs="Arial"/>
                <w:lang w:val="fr-FR"/>
              </w:rPr>
            </w:pPr>
            <w:r w:rsidRPr="007F1538">
              <w:rPr>
                <w:rFonts w:cs="Arial"/>
                <w:lang w:val="fr-FR"/>
              </w:rPr>
              <w:t>476</w:t>
            </w:r>
          </w:p>
        </w:tc>
        <w:tc>
          <w:tcPr>
            <w:tcW w:w="577" w:type="pct"/>
            <w:vAlign w:val="center"/>
          </w:tcPr>
          <w:p w:rsidR="009C5978" w:rsidRPr="007F1538" w:rsidRDefault="009C5978">
            <w:pPr>
              <w:jc w:val="center"/>
              <w:rPr>
                <w:rFonts w:cs="Arial"/>
                <w:lang w:val="fr-FR"/>
              </w:rPr>
            </w:pPr>
            <w:r w:rsidRPr="007F1538">
              <w:rPr>
                <w:rFonts w:cs="Arial"/>
                <w:lang w:val="fr-FR"/>
              </w:rPr>
              <w:t>728</w:t>
            </w:r>
          </w:p>
        </w:tc>
        <w:tc>
          <w:tcPr>
            <w:tcW w:w="577" w:type="pct"/>
            <w:shd w:val="clear" w:color="auto" w:fill="auto"/>
            <w:vAlign w:val="center"/>
          </w:tcPr>
          <w:p w:rsidR="009C5978" w:rsidRPr="007F1538" w:rsidRDefault="009C5978">
            <w:pPr>
              <w:jc w:val="center"/>
              <w:rPr>
                <w:rFonts w:cs="Arial"/>
                <w:lang w:val="fr-FR"/>
              </w:rPr>
            </w:pPr>
            <w:r w:rsidRPr="007F1538">
              <w:rPr>
                <w:rFonts w:cs="Arial"/>
                <w:lang w:val="fr-FR"/>
              </w:rPr>
              <w:t>367</w:t>
            </w:r>
          </w:p>
        </w:tc>
        <w:tc>
          <w:tcPr>
            <w:tcW w:w="577" w:type="pct"/>
            <w:vAlign w:val="center"/>
          </w:tcPr>
          <w:p w:rsidR="009C5978" w:rsidRPr="007F1538" w:rsidRDefault="009C5978">
            <w:pPr>
              <w:jc w:val="center"/>
              <w:rPr>
                <w:rFonts w:cs="Arial"/>
                <w:lang w:val="fr-FR"/>
              </w:rPr>
            </w:pPr>
            <w:r w:rsidRPr="007F1538">
              <w:rPr>
                <w:rFonts w:cs="Arial"/>
                <w:lang w:val="fr-FR"/>
              </w:rPr>
              <w:t>627</w:t>
            </w:r>
          </w:p>
        </w:tc>
        <w:tc>
          <w:tcPr>
            <w:tcW w:w="575" w:type="pct"/>
            <w:vAlign w:val="center"/>
          </w:tcPr>
          <w:p w:rsidR="009C5978" w:rsidRPr="007F1538" w:rsidRDefault="009C5978" w:rsidP="009C5978">
            <w:pPr>
              <w:jc w:val="center"/>
              <w:rPr>
                <w:rFonts w:cs="Arial"/>
                <w:lang w:val="fr-FR"/>
              </w:rPr>
            </w:pPr>
            <w:r w:rsidRPr="007F1538">
              <w:rPr>
                <w:rFonts w:cs="Arial"/>
                <w:lang w:val="fr-FR"/>
              </w:rPr>
              <w:t>593</w:t>
            </w:r>
          </w:p>
        </w:tc>
        <w:tc>
          <w:tcPr>
            <w:tcW w:w="575" w:type="pct"/>
          </w:tcPr>
          <w:p w:rsidR="009C5978" w:rsidRPr="007F1538" w:rsidRDefault="00652F6A" w:rsidP="009C5978">
            <w:pPr>
              <w:jc w:val="center"/>
              <w:rPr>
                <w:rFonts w:cs="Arial"/>
                <w:lang w:val="fr-FR"/>
              </w:rPr>
            </w:pPr>
            <w:r>
              <w:rPr>
                <w:rFonts w:cs="Arial"/>
                <w:lang w:val="fr-FR"/>
              </w:rPr>
              <w:t>661</w:t>
            </w:r>
          </w:p>
        </w:tc>
      </w:tr>
      <w:tr w:rsidR="009C5978" w:rsidRPr="007F1538" w:rsidTr="009C5978">
        <w:tc>
          <w:tcPr>
            <w:tcW w:w="678" w:type="pct"/>
            <w:vAlign w:val="bottom"/>
          </w:tcPr>
          <w:p w:rsidR="009C5978" w:rsidRPr="007F1538" w:rsidRDefault="005F508E" w:rsidP="00690B4E">
            <w:pPr>
              <w:rPr>
                <w:rFonts w:cs="Arial"/>
                <w:lang w:val="fr-FR"/>
              </w:rPr>
            </w:pPr>
            <w:r w:rsidRPr="005F508E">
              <w:rPr>
                <w:rFonts w:cs="Arial"/>
                <w:lang w:val="fr-FR"/>
              </w:rPr>
              <w:t>FormAlim</w:t>
            </w:r>
          </w:p>
        </w:tc>
        <w:tc>
          <w:tcPr>
            <w:tcW w:w="387" w:type="pct"/>
            <w:vAlign w:val="bottom"/>
          </w:tcPr>
          <w:p w:rsidR="009C5978" w:rsidRPr="007F1538" w:rsidRDefault="009C5978">
            <w:pPr>
              <w:jc w:val="center"/>
              <w:rPr>
                <w:rFonts w:cs="Arial"/>
                <w:lang w:val="fr-FR"/>
              </w:rPr>
            </w:pPr>
            <w:r w:rsidRPr="007F1538">
              <w:rPr>
                <w:rFonts w:cs="Arial"/>
                <w:lang w:val="fr-FR"/>
              </w:rPr>
              <w:t> </w:t>
            </w:r>
          </w:p>
        </w:tc>
        <w:tc>
          <w:tcPr>
            <w:tcW w:w="478" w:type="pct"/>
            <w:vAlign w:val="bottom"/>
          </w:tcPr>
          <w:p w:rsidR="009C5978" w:rsidRPr="007F1538" w:rsidRDefault="009C5978">
            <w:pPr>
              <w:jc w:val="center"/>
              <w:rPr>
                <w:rFonts w:cs="Arial"/>
                <w:lang w:val="fr-FR"/>
              </w:rPr>
            </w:pPr>
            <w:r w:rsidRPr="007F1538">
              <w:rPr>
                <w:rFonts w:cs="Arial"/>
                <w:lang w:val="fr-FR"/>
              </w:rPr>
              <w:t>245</w:t>
            </w:r>
          </w:p>
        </w:tc>
        <w:tc>
          <w:tcPr>
            <w:tcW w:w="577" w:type="pct"/>
            <w:vAlign w:val="bottom"/>
          </w:tcPr>
          <w:p w:rsidR="009C5978" w:rsidRPr="007F1538" w:rsidRDefault="009C5978">
            <w:pPr>
              <w:jc w:val="center"/>
              <w:rPr>
                <w:rFonts w:cs="Arial"/>
                <w:lang w:val="fr-FR"/>
              </w:rPr>
            </w:pPr>
            <w:r w:rsidRPr="007F1538">
              <w:rPr>
                <w:rFonts w:cs="Arial"/>
                <w:lang w:val="fr-FR"/>
              </w:rPr>
              <w:t>717</w:t>
            </w:r>
          </w:p>
        </w:tc>
        <w:tc>
          <w:tcPr>
            <w:tcW w:w="577" w:type="pct"/>
            <w:vAlign w:val="bottom"/>
          </w:tcPr>
          <w:p w:rsidR="009C5978" w:rsidRPr="007F1538" w:rsidRDefault="009C5978">
            <w:pPr>
              <w:jc w:val="center"/>
              <w:rPr>
                <w:rFonts w:cs="Arial"/>
                <w:lang w:val="fr-FR"/>
              </w:rPr>
            </w:pPr>
            <w:r w:rsidRPr="007F1538">
              <w:rPr>
                <w:rFonts w:cs="Arial"/>
                <w:lang w:val="fr-FR"/>
              </w:rPr>
              <w:t>1.178</w:t>
            </w:r>
          </w:p>
        </w:tc>
        <w:tc>
          <w:tcPr>
            <w:tcW w:w="577" w:type="pct"/>
            <w:shd w:val="clear" w:color="auto" w:fill="auto"/>
            <w:vAlign w:val="bottom"/>
          </w:tcPr>
          <w:p w:rsidR="009C5978" w:rsidRPr="007F1538" w:rsidRDefault="009C5978">
            <w:pPr>
              <w:jc w:val="center"/>
              <w:rPr>
                <w:rFonts w:cs="Arial"/>
                <w:lang w:val="fr-FR"/>
              </w:rPr>
            </w:pPr>
            <w:r w:rsidRPr="007F1538">
              <w:rPr>
                <w:rFonts w:cs="Arial"/>
                <w:lang w:val="fr-FR"/>
              </w:rPr>
              <w:t>932</w:t>
            </w:r>
          </w:p>
        </w:tc>
        <w:tc>
          <w:tcPr>
            <w:tcW w:w="577" w:type="pct"/>
            <w:vAlign w:val="bottom"/>
          </w:tcPr>
          <w:p w:rsidR="009C5978" w:rsidRPr="007F1538" w:rsidRDefault="009C5978">
            <w:pPr>
              <w:jc w:val="center"/>
              <w:rPr>
                <w:rFonts w:cs="Arial"/>
                <w:lang w:val="fr-FR"/>
              </w:rPr>
            </w:pPr>
            <w:r w:rsidRPr="007F1538">
              <w:rPr>
                <w:rFonts w:cs="Arial"/>
                <w:lang w:val="fr-FR"/>
              </w:rPr>
              <w:t>1.053</w:t>
            </w:r>
          </w:p>
        </w:tc>
        <w:tc>
          <w:tcPr>
            <w:tcW w:w="575" w:type="pct"/>
            <w:vAlign w:val="bottom"/>
          </w:tcPr>
          <w:p w:rsidR="009C5978" w:rsidRPr="007F1538" w:rsidRDefault="009C5978">
            <w:pPr>
              <w:jc w:val="center"/>
              <w:rPr>
                <w:rFonts w:cs="Arial"/>
                <w:lang w:val="fr-FR"/>
              </w:rPr>
            </w:pPr>
            <w:r w:rsidRPr="007F1538">
              <w:rPr>
                <w:rFonts w:cs="Arial"/>
                <w:lang w:val="fr-FR"/>
              </w:rPr>
              <w:t>1.029</w:t>
            </w:r>
          </w:p>
        </w:tc>
        <w:tc>
          <w:tcPr>
            <w:tcW w:w="575" w:type="pct"/>
          </w:tcPr>
          <w:p w:rsidR="009C5978" w:rsidRPr="007F1538" w:rsidRDefault="009C5978">
            <w:pPr>
              <w:jc w:val="center"/>
              <w:rPr>
                <w:rFonts w:cs="Arial"/>
                <w:lang w:val="fr-FR"/>
              </w:rPr>
            </w:pPr>
            <w:r w:rsidRPr="007F1538">
              <w:rPr>
                <w:rFonts w:cs="Arial"/>
                <w:lang w:val="fr-FR"/>
              </w:rPr>
              <w:t>1.670</w:t>
            </w:r>
          </w:p>
        </w:tc>
      </w:tr>
      <w:tr w:rsidR="009C5978" w:rsidRPr="007F1538" w:rsidTr="009C5978">
        <w:tc>
          <w:tcPr>
            <w:tcW w:w="678" w:type="pct"/>
            <w:vAlign w:val="bottom"/>
          </w:tcPr>
          <w:p w:rsidR="009C5978" w:rsidRPr="007F1538" w:rsidRDefault="005F508E" w:rsidP="00690B4E">
            <w:pPr>
              <w:rPr>
                <w:rFonts w:cs="Arial"/>
                <w:lang w:val="fr-FR"/>
              </w:rPr>
            </w:pPr>
            <w:r w:rsidRPr="005F508E">
              <w:rPr>
                <w:rFonts w:cs="Arial"/>
                <w:lang w:val="fr-FR"/>
              </w:rPr>
              <w:t>IBO – PFI</w:t>
            </w:r>
          </w:p>
        </w:tc>
        <w:tc>
          <w:tcPr>
            <w:tcW w:w="387" w:type="pct"/>
            <w:vAlign w:val="bottom"/>
          </w:tcPr>
          <w:p w:rsidR="009C5978" w:rsidRPr="007F1538" w:rsidRDefault="009C5978">
            <w:pPr>
              <w:jc w:val="center"/>
              <w:rPr>
                <w:rFonts w:cs="Arial"/>
                <w:lang w:val="fr-FR"/>
              </w:rPr>
            </w:pPr>
          </w:p>
        </w:tc>
        <w:tc>
          <w:tcPr>
            <w:tcW w:w="478" w:type="pct"/>
            <w:vAlign w:val="bottom"/>
          </w:tcPr>
          <w:p w:rsidR="009C5978" w:rsidRPr="007F1538" w:rsidRDefault="009C5978">
            <w:pPr>
              <w:jc w:val="center"/>
              <w:rPr>
                <w:rFonts w:cs="Arial"/>
                <w:lang w:val="fr-FR"/>
              </w:rPr>
            </w:pPr>
          </w:p>
        </w:tc>
        <w:tc>
          <w:tcPr>
            <w:tcW w:w="577" w:type="pct"/>
            <w:vAlign w:val="bottom"/>
          </w:tcPr>
          <w:p w:rsidR="009C5978" w:rsidRPr="007F1538" w:rsidRDefault="009C5978">
            <w:pPr>
              <w:jc w:val="center"/>
              <w:rPr>
                <w:rFonts w:cs="Arial"/>
                <w:lang w:val="fr-FR"/>
              </w:rPr>
            </w:pPr>
          </w:p>
        </w:tc>
        <w:tc>
          <w:tcPr>
            <w:tcW w:w="577" w:type="pct"/>
            <w:vAlign w:val="bottom"/>
          </w:tcPr>
          <w:p w:rsidR="009C5978" w:rsidRPr="007F1538" w:rsidRDefault="009C5978">
            <w:pPr>
              <w:jc w:val="center"/>
              <w:rPr>
                <w:rFonts w:cs="Arial"/>
                <w:lang w:val="fr-FR"/>
              </w:rPr>
            </w:pPr>
          </w:p>
        </w:tc>
        <w:tc>
          <w:tcPr>
            <w:tcW w:w="577" w:type="pct"/>
            <w:shd w:val="clear" w:color="auto" w:fill="auto"/>
            <w:vAlign w:val="bottom"/>
          </w:tcPr>
          <w:p w:rsidR="009C5978" w:rsidRPr="007F1538" w:rsidRDefault="009C5978">
            <w:pPr>
              <w:jc w:val="center"/>
              <w:rPr>
                <w:rFonts w:cs="Arial"/>
                <w:lang w:val="fr-FR"/>
              </w:rPr>
            </w:pPr>
          </w:p>
        </w:tc>
        <w:tc>
          <w:tcPr>
            <w:tcW w:w="577" w:type="pct"/>
            <w:vAlign w:val="bottom"/>
          </w:tcPr>
          <w:p w:rsidR="009C5978" w:rsidRPr="007F1538" w:rsidRDefault="009C5978">
            <w:pPr>
              <w:jc w:val="center"/>
              <w:rPr>
                <w:rFonts w:cs="Arial"/>
                <w:lang w:val="fr-FR"/>
              </w:rPr>
            </w:pPr>
            <w:r w:rsidRPr="007F1538">
              <w:rPr>
                <w:rFonts w:cs="Arial"/>
                <w:lang w:val="fr-FR"/>
              </w:rPr>
              <w:t>495</w:t>
            </w:r>
          </w:p>
        </w:tc>
        <w:tc>
          <w:tcPr>
            <w:tcW w:w="575" w:type="pct"/>
            <w:vAlign w:val="bottom"/>
          </w:tcPr>
          <w:p w:rsidR="009C5978" w:rsidRPr="007F1538" w:rsidRDefault="009C5978">
            <w:pPr>
              <w:jc w:val="center"/>
              <w:rPr>
                <w:rFonts w:cs="Arial"/>
                <w:lang w:val="fr-FR"/>
              </w:rPr>
            </w:pPr>
            <w:r w:rsidRPr="007F1538">
              <w:rPr>
                <w:rFonts w:cs="Arial"/>
                <w:lang w:val="fr-FR"/>
              </w:rPr>
              <w:t>407</w:t>
            </w:r>
          </w:p>
        </w:tc>
        <w:tc>
          <w:tcPr>
            <w:tcW w:w="575" w:type="pct"/>
          </w:tcPr>
          <w:p w:rsidR="009C5978" w:rsidRPr="007F1538" w:rsidRDefault="009C5978">
            <w:pPr>
              <w:jc w:val="center"/>
              <w:rPr>
                <w:rFonts w:cs="Arial"/>
                <w:lang w:val="fr-FR"/>
              </w:rPr>
            </w:pPr>
            <w:r w:rsidRPr="007F1538">
              <w:rPr>
                <w:rFonts w:cs="Arial"/>
                <w:lang w:val="fr-FR"/>
              </w:rPr>
              <w:t>409</w:t>
            </w:r>
          </w:p>
        </w:tc>
      </w:tr>
    </w:tbl>
    <w:p w:rsidR="00A73AD2" w:rsidRPr="007F1538" w:rsidRDefault="00A73AD2">
      <w:pPr>
        <w:rPr>
          <w:rFonts w:cs="Arial"/>
          <w:lang w:val="fr-FR"/>
        </w:rPr>
      </w:pPr>
    </w:p>
    <w:p w:rsidR="00A73AD2" w:rsidRPr="007F1538" w:rsidRDefault="005F508E">
      <w:pPr>
        <w:rPr>
          <w:rFonts w:cs="Arial"/>
          <w:lang w:val="fr-FR"/>
        </w:rPr>
      </w:pPr>
      <w:r w:rsidRPr="005F508E">
        <w:rPr>
          <w:rFonts w:cs="Arial"/>
          <w:lang w:val="fr-FR"/>
        </w:rPr>
        <w:t xml:space="preserve">En Flandre, quelque </w:t>
      </w:r>
      <w:r w:rsidR="00110CA6">
        <w:rPr>
          <w:rFonts w:cs="Arial"/>
          <w:lang w:val="fr-FR"/>
        </w:rPr>
        <w:t>87</w:t>
      </w:r>
      <w:r w:rsidRPr="005F508E">
        <w:rPr>
          <w:rFonts w:cs="Arial"/>
          <w:lang w:val="fr-FR"/>
        </w:rPr>
        <w:t xml:space="preserve"> demandeurs d'emploi ont été formés par l'IFP et ses partenaires</w:t>
      </w:r>
      <w:r w:rsidR="00110CA6">
        <w:rPr>
          <w:rFonts w:cs="Arial"/>
          <w:lang w:val="fr-FR"/>
        </w:rPr>
        <w:t xml:space="preserve"> </w:t>
      </w:r>
      <w:r w:rsidRPr="005F508E">
        <w:rPr>
          <w:rFonts w:cs="Arial"/>
          <w:lang w:val="fr-FR"/>
        </w:rPr>
        <w:t>au</w:t>
      </w:r>
      <w:r w:rsidR="00110CA6">
        <w:rPr>
          <w:rFonts w:cs="Arial"/>
          <w:lang w:val="fr-FR"/>
        </w:rPr>
        <w:t>x</w:t>
      </w:r>
      <w:r w:rsidRPr="005F508E">
        <w:rPr>
          <w:rFonts w:cs="Arial"/>
          <w:lang w:val="fr-FR"/>
        </w:rPr>
        <w:t xml:space="preserve"> métier</w:t>
      </w:r>
      <w:r w:rsidR="00110CA6">
        <w:rPr>
          <w:rFonts w:cs="Arial"/>
          <w:lang w:val="fr-FR"/>
        </w:rPr>
        <w:t>s</w:t>
      </w:r>
      <w:r w:rsidRPr="005F508E">
        <w:rPr>
          <w:rFonts w:cs="Arial"/>
          <w:lang w:val="fr-FR"/>
        </w:rPr>
        <w:t xml:space="preserve"> de</w:t>
      </w:r>
      <w:r w:rsidR="00110CA6">
        <w:rPr>
          <w:rFonts w:cs="Arial"/>
          <w:lang w:val="fr-FR"/>
        </w:rPr>
        <w:t xml:space="preserve"> : </w:t>
      </w:r>
      <w:r w:rsidRPr="005F508E">
        <w:rPr>
          <w:rFonts w:cs="Arial"/>
          <w:lang w:val="fr-FR"/>
        </w:rPr>
        <w:t>boulanger</w:t>
      </w:r>
      <w:r w:rsidR="00110CA6">
        <w:rPr>
          <w:rFonts w:cs="Arial"/>
          <w:lang w:val="fr-FR"/>
        </w:rPr>
        <w:t xml:space="preserve"> (11), </w:t>
      </w:r>
      <w:r w:rsidRPr="005F508E">
        <w:rPr>
          <w:rFonts w:cs="Arial"/>
          <w:lang w:val="fr-FR"/>
        </w:rPr>
        <w:t xml:space="preserve">opérateur de transformation de viande </w:t>
      </w:r>
      <w:r w:rsidR="00110CA6">
        <w:rPr>
          <w:rFonts w:cs="Arial"/>
          <w:lang w:val="fr-FR"/>
        </w:rPr>
        <w:t>(30),</w:t>
      </w:r>
      <w:r w:rsidRPr="005F508E">
        <w:rPr>
          <w:rFonts w:cs="Arial"/>
          <w:lang w:val="fr-FR"/>
        </w:rPr>
        <w:t xml:space="preserve"> magasin</w:t>
      </w:r>
      <w:r w:rsidR="00110CA6">
        <w:rPr>
          <w:rFonts w:cs="Arial"/>
          <w:lang w:val="fr-FR"/>
        </w:rPr>
        <w:t>ier (15), opérateur de production (23) et de conditionnement (8)</w:t>
      </w:r>
      <w:r w:rsidRPr="005F508E">
        <w:rPr>
          <w:rFonts w:cs="Arial"/>
          <w:lang w:val="fr-FR"/>
        </w:rPr>
        <w:t>.</w:t>
      </w:r>
      <w:r w:rsidR="001D7928">
        <w:rPr>
          <w:rFonts w:cs="Arial"/>
          <w:lang w:val="fr-FR"/>
        </w:rPr>
        <w:t xml:space="preserve">  Sur total de 87 personnes, 68 ont été formées via des projets classiques et 19 sur mesure via une collaboration avec les agences d’intérim.</w:t>
      </w:r>
    </w:p>
    <w:p w:rsidR="008E075A" w:rsidRPr="007F1538" w:rsidRDefault="008E075A" w:rsidP="00D47631">
      <w:pPr>
        <w:rPr>
          <w:rFonts w:cs="Arial"/>
          <w:lang w:val="fr-FR"/>
        </w:rPr>
      </w:pPr>
    </w:p>
    <w:p w:rsidR="005B65F0" w:rsidRPr="007F1538" w:rsidRDefault="005F508E" w:rsidP="00BB19B2">
      <w:pPr>
        <w:rPr>
          <w:rFonts w:cs="Arial"/>
          <w:lang w:val="fr-FR"/>
        </w:rPr>
      </w:pPr>
      <w:r w:rsidRPr="005F508E">
        <w:rPr>
          <w:rFonts w:cs="Arial"/>
          <w:lang w:val="fr-FR"/>
        </w:rPr>
        <w:t xml:space="preserve">Du côté wallon, l'IFP et ses partenaires ont formé </w:t>
      </w:r>
      <w:r w:rsidR="00CE14B2">
        <w:rPr>
          <w:rFonts w:cs="Arial"/>
          <w:lang w:val="fr-FR"/>
        </w:rPr>
        <w:t xml:space="preserve">au total </w:t>
      </w:r>
      <w:r w:rsidR="00533FC9">
        <w:rPr>
          <w:rFonts w:cs="Arial"/>
          <w:lang w:val="fr-FR"/>
        </w:rPr>
        <w:t>542</w:t>
      </w:r>
      <w:r w:rsidRPr="005F508E">
        <w:rPr>
          <w:rFonts w:cs="Arial"/>
          <w:lang w:val="fr-FR"/>
        </w:rPr>
        <w:t xml:space="preserve"> personnes </w:t>
      </w:r>
      <w:r w:rsidR="0023308F">
        <w:rPr>
          <w:rFonts w:cs="Arial"/>
          <w:lang w:val="fr-FR"/>
        </w:rPr>
        <w:t>à travers de nombreux</w:t>
      </w:r>
      <w:r w:rsidRPr="005F508E">
        <w:rPr>
          <w:rFonts w:cs="Arial"/>
          <w:lang w:val="fr-FR"/>
        </w:rPr>
        <w:t xml:space="preserve"> projets </w:t>
      </w:r>
      <w:r w:rsidR="0023308F">
        <w:rPr>
          <w:rFonts w:cs="Arial"/>
          <w:lang w:val="fr-FR"/>
        </w:rPr>
        <w:t>pour</w:t>
      </w:r>
      <w:r w:rsidRPr="005F508E">
        <w:rPr>
          <w:rFonts w:cs="Arial"/>
          <w:lang w:val="fr-FR"/>
        </w:rPr>
        <w:t xml:space="preserve"> demandeurs d'emploi</w:t>
      </w:r>
      <w:r w:rsidR="00CE14B2">
        <w:rPr>
          <w:rFonts w:cs="Arial"/>
          <w:lang w:val="fr-FR"/>
        </w:rPr>
        <w:t>.</w:t>
      </w:r>
      <w:r w:rsidRPr="005F508E">
        <w:rPr>
          <w:rFonts w:cs="Arial"/>
          <w:lang w:val="fr-FR"/>
        </w:rPr>
        <w:t xml:space="preserve"> Tout comme en 2008, l’IFP a surtout collaboré à cet effet avec FormAlim, </w:t>
      </w:r>
      <w:r w:rsidR="004B2BA9">
        <w:rPr>
          <w:rFonts w:cs="Arial"/>
          <w:lang w:val="fr-FR"/>
        </w:rPr>
        <w:t xml:space="preserve">Epicuris, </w:t>
      </w:r>
      <w:r w:rsidRPr="005F508E">
        <w:rPr>
          <w:rFonts w:cs="Arial"/>
          <w:lang w:val="fr-FR"/>
        </w:rPr>
        <w:t>les centres IFAPME (formation des classes moyennes) et des tiers comme les « Entreprises de formation par le travail » (EFT) et les « Missions régionales pour l’emploi ».</w:t>
      </w:r>
      <w:r w:rsidR="00BB19B2" w:rsidRPr="007F1538">
        <w:rPr>
          <w:rFonts w:cs="Arial"/>
          <w:lang w:val="fr-FR"/>
        </w:rPr>
        <w:t xml:space="preserve"> </w:t>
      </w:r>
      <w:r w:rsidRPr="005F508E">
        <w:rPr>
          <w:rFonts w:cs="Arial"/>
          <w:lang w:val="fr-FR"/>
        </w:rPr>
        <w:t xml:space="preserve">Dans le cadre de ces projets, l’IFP a principalement formé des opérateurs de production (110), </w:t>
      </w:r>
      <w:r w:rsidR="00533FC9">
        <w:rPr>
          <w:rFonts w:cs="Arial"/>
          <w:lang w:val="fr-FR"/>
        </w:rPr>
        <w:t xml:space="preserve">des </w:t>
      </w:r>
      <w:r w:rsidRPr="005F508E">
        <w:rPr>
          <w:rFonts w:cs="Arial"/>
          <w:lang w:val="fr-FR"/>
        </w:rPr>
        <w:t>ouvriers-boulangers</w:t>
      </w:r>
      <w:r w:rsidR="00533FC9">
        <w:rPr>
          <w:rFonts w:cs="Arial"/>
          <w:lang w:val="fr-FR"/>
        </w:rPr>
        <w:t xml:space="preserve"> (</w:t>
      </w:r>
      <w:r w:rsidR="00533FC9" w:rsidRPr="005F508E">
        <w:rPr>
          <w:rFonts w:cs="Arial"/>
          <w:lang w:val="fr-FR"/>
        </w:rPr>
        <w:t>23</w:t>
      </w:r>
      <w:r w:rsidR="00533FC9">
        <w:rPr>
          <w:rFonts w:cs="Arial"/>
          <w:lang w:val="fr-FR"/>
        </w:rPr>
        <w:t>)</w:t>
      </w:r>
      <w:r w:rsidRPr="005F508E">
        <w:rPr>
          <w:rFonts w:cs="Arial"/>
          <w:lang w:val="fr-FR"/>
        </w:rPr>
        <w:t xml:space="preserve">, </w:t>
      </w:r>
      <w:r w:rsidR="00533FC9">
        <w:rPr>
          <w:rFonts w:cs="Arial"/>
          <w:lang w:val="fr-FR"/>
        </w:rPr>
        <w:t xml:space="preserve">des </w:t>
      </w:r>
      <w:r w:rsidRPr="005F508E">
        <w:rPr>
          <w:rFonts w:cs="Arial"/>
          <w:lang w:val="fr-FR"/>
        </w:rPr>
        <w:t>découpeurs-désosseurs</w:t>
      </w:r>
      <w:r w:rsidR="00533FC9">
        <w:rPr>
          <w:rFonts w:cs="Arial"/>
          <w:lang w:val="fr-FR"/>
        </w:rPr>
        <w:t xml:space="preserve"> (</w:t>
      </w:r>
      <w:r w:rsidR="00533FC9" w:rsidRPr="005F508E">
        <w:rPr>
          <w:rFonts w:cs="Arial"/>
          <w:lang w:val="fr-FR"/>
        </w:rPr>
        <w:t>5</w:t>
      </w:r>
      <w:r w:rsidR="00533FC9">
        <w:rPr>
          <w:rFonts w:cs="Arial"/>
          <w:lang w:val="fr-FR"/>
        </w:rPr>
        <w:t>)</w:t>
      </w:r>
      <w:r w:rsidRPr="005F508E">
        <w:rPr>
          <w:rFonts w:cs="Arial"/>
          <w:lang w:val="fr-FR"/>
        </w:rPr>
        <w:t xml:space="preserve">, </w:t>
      </w:r>
      <w:r w:rsidR="00533FC9">
        <w:rPr>
          <w:rFonts w:cs="Arial"/>
          <w:lang w:val="fr-FR"/>
        </w:rPr>
        <w:t xml:space="preserve">des </w:t>
      </w:r>
      <w:r w:rsidRPr="005F508E">
        <w:rPr>
          <w:rFonts w:cs="Arial"/>
          <w:lang w:val="fr-FR"/>
        </w:rPr>
        <w:t xml:space="preserve">conducteurs de chariot élévateur </w:t>
      </w:r>
      <w:r w:rsidR="00533FC9">
        <w:rPr>
          <w:rFonts w:cs="Arial"/>
          <w:lang w:val="fr-FR"/>
        </w:rPr>
        <w:t>(</w:t>
      </w:r>
      <w:r w:rsidR="00533FC9" w:rsidRPr="005F508E">
        <w:rPr>
          <w:rFonts w:cs="Arial"/>
          <w:lang w:val="fr-FR"/>
        </w:rPr>
        <w:t>19</w:t>
      </w:r>
      <w:r w:rsidR="00533FC9">
        <w:rPr>
          <w:rFonts w:cs="Arial"/>
          <w:lang w:val="fr-FR"/>
        </w:rPr>
        <w:t>)</w:t>
      </w:r>
      <w:r w:rsidR="00533FC9" w:rsidRPr="005F508E">
        <w:rPr>
          <w:rFonts w:cs="Arial"/>
          <w:lang w:val="fr-FR"/>
        </w:rPr>
        <w:t xml:space="preserve"> </w:t>
      </w:r>
      <w:r w:rsidRPr="005F508E">
        <w:rPr>
          <w:rFonts w:cs="Arial"/>
          <w:lang w:val="fr-FR"/>
        </w:rPr>
        <w:t xml:space="preserve">et </w:t>
      </w:r>
      <w:r w:rsidR="00533FC9">
        <w:rPr>
          <w:rFonts w:cs="Arial"/>
          <w:lang w:val="fr-FR"/>
        </w:rPr>
        <w:t>des</w:t>
      </w:r>
      <w:r w:rsidRPr="005F508E">
        <w:rPr>
          <w:rFonts w:cs="Arial"/>
          <w:lang w:val="fr-FR"/>
        </w:rPr>
        <w:t xml:space="preserve"> collaborateurs commerciaux</w:t>
      </w:r>
      <w:r w:rsidR="00533FC9">
        <w:rPr>
          <w:rFonts w:cs="Arial"/>
          <w:lang w:val="fr-FR"/>
        </w:rPr>
        <w:t xml:space="preserve"> (</w:t>
      </w:r>
      <w:r w:rsidR="00533FC9" w:rsidRPr="005F508E">
        <w:rPr>
          <w:rFonts w:cs="Arial"/>
          <w:lang w:val="fr-FR"/>
        </w:rPr>
        <w:t>4</w:t>
      </w:r>
      <w:r w:rsidR="00533FC9">
        <w:rPr>
          <w:rFonts w:cs="Arial"/>
          <w:lang w:val="fr-FR"/>
        </w:rPr>
        <w:t>)</w:t>
      </w:r>
      <w:r w:rsidR="00CE14B2">
        <w:rPr>
          <w:rFonts w:cs="Arial"/>
          <w:lang w:val="fr-FR"/>
        </w:rPr>
        <w:t>, soit 161 demandeurs d’emploi</w:t>
      </w:r>
      <w:r w:rsidRPr="005F508E">
        <w:rPr>
          <w:rFonts w:cs="Arial"/>
          <w:lang w:val="fr-FR"/>
        </w:rPr>
        <w:t>.</w:t>
      </w:r>
      <w:r w:rsidR="00CE14B2">
        <w:rPr>
          <w:rFonts w:cs="Arial"/>
          <w:lang w:val="fr-FR"/>
        </w:rPr>
        <w:t xml:space="preserve">  381 autres demandeurs d’emploi ont été </w:t>
      </w:r>
      <w:r w:rsidR="004B2BA9">
        <w:rPr>
          <w:rFonts w:cs="Arial"/>
          <w:lang w:val="fr-FR"/>
        </w:rPr>
        <w:t>formés</w:t>
      </w:r>
      <w:r w:rsidR="00CE14B2">
        <w:rPr>
          <w:rFonts w:cs="Arial"/>
          <w:lang w:val="fr-FR"/>
        </w:rPr>
        <w:t xml:space="preserve"> pour être insérés durablement via l’intérim.</w:t>
      </w:r>
    </w:p>
    <w:p w:rsidR="005B65F0" w:rsidRPr="007F1538" w:rsidRDefault="005B65F0" w:rsidP="00BB19B2">
      <w:pPr>
        <w:rPr>
          <w:rFonts w:cs="Arial"/>
          <w:lang w:val="fr-FR"/>
        </w:rPr>
      </w:pPr>
    </w:p>
    <w:p w:rsidR="00BB19B2" w:rsidRPr="007F1538" w:rsidRDefault="005F508E" w:rsidP="00BB19B2">
      <w:pPr>
        <w:rPr>
          <w:rFonts w:cs="Arial"/>
          <w:lang w:val="fr-FR"/>
        </w:rPr>
      </w:pPr>
      <w:r w:rsidRPr="005F508E">
        <w:rPr>
          <w:rFonts w:cs="Arial"/>
          <w:lang w:val="fr-FR"/>
        </w:rPr>
        <w:t>Les travailleurs qui se sont retrouvés sur le marché du travail après une restructuration ont également suivi une formation IFP.</w:t>
      </w:r>
      <w:r w:rsidR="0010345D" w:rsidRPr="007F1538">
        <w:rPr>
          <w:rFonts w:cs="Arial"/>
          <w:lang w:val="fr-FR"/>
        </w:rPr>
        <w:t xml:space="preserve"> </w:t>
      </w:r>
      <w:r w:rsidR="00426373" w:rsidRPr="00426373">
        <w:rPr>
          <w:rFonts w:cs="Arial"/>
          <w:lang w:val="fr-FR"/>
        </w:rPr>
        <w:t xml:space="preserve">Il s’agit de 32 personnes au total, 17 en Région flamande et 15 en </w:t>
      </w:r>
      <w:r w:rsidR="00D20CED">
        <w:rPr>
          <w:rFonts w:cs="Arial"/>
          <w:lang w:val="fr-FR"/>
        </w:rPr>
        <w:t>W</w:t>
      </w:r>
      <w:r w:rsidR="00426373" w:rsidRPr="00426373">
        <w:rPr>
          <w:rFonts w:cs="Arial"/>
          <w:lang w:val="fr-FR"/>
        </w:rPr>
        <w:t>allon</w:t>
      </w:r>
      <w:r w:rsidR="00D20CED">
        <w:rPr>
          <w:rFonts w:cs="Arial"/>
          <w:lang w:val="fr-FR"/>
        </w:rPr>
        <w:t>i</w:t>
      </w:r>
      <w:r w:rsidR="00426373" w:rsidRPr="00426373">
        <w:rPr>
          <w:rFonts w:cs="Arial"/>
          <w:lang w:val="fr-FR"/>
        </w:rPr>
        <w:t>e.</w:t>
      </w:r>
    </w:p>
    <w:p w:rsidR="00BB19B2" w:rsidRPr="007F1538" w:rsidRDefault="00BB19B2" w:rsidP="00BB19B2">
      <w:pPr>
        <w:rPr>
          <w:lang w:val="fr-FR"/>
        </w:rPr>
      </w:pPr>
    </w:p>
    <w:p w:rsidR="00004C04" w:rsidRPr="007F1538" w:rsidRDefault="00004C04" w:rsidP="00BB19B2">
      <w:pPr>
        <w:rPr>
          <w:lang w:val="fr-FR"/>
        </w:rPr>
      </w:pPr>
    </w:p>
    <w:p w:rsidR="00A73AD2" w:rsidRPr="007F1538" w:rsidRDefault="00426373" w:rsidP="00426373">
      <w:pPr>
        <w:pStyle w:val="Heading3"/>
        <w:rPr>
          <w:lang w:val="fr-FR"/>
        </w:rPr>
      </w:pPr>
      <w:bookmarkStart w:id="53" w:name="_Toc231044717"/>
      <w:bookmarkStart w:id="54" w:name="_Toc233192576"/>
      <w:bookmarkStart w:id="55" w:name="_Toc233194341"/>
      <w:bookmarkStart w:id="56" w:name="_Toc233194496"/>
      <w:bookmarkStart w:id="57" w:name="_Toc233607053"/>
      <w:bookmarkStart w:id="58" w:name="_Toc263170599"/>
      <w:bookmarkStart w:id="59" w:name="_Toc267060128"/>
      <w:bookmarkStart w:id="60" w:name="_Toc269220682"/>
      <w:r w:rsidRPr="00426373">
        <w:rPr>
          <w:lang w:val="fr-FR"/>
        </w:rPr>
        <w:t>Objectif stratégique largement atteint :</w:t>
      </w:r>
      <w:r w:rsidR="00BC56A8" w:rsidRPr="007F1538">
        <w:rPr>
          <w:lang w:val="fr-FR"/>
        </w:rPr>
        <w:t xml:space="preserve"> </w:t>
      </w:r>
      <w:bookmarkEnd w:id="53"/>
      <w:bookmarkEnd w:id="54"/>
      <w:bookmarkEnd w:id="55"/>
      <w:bookmarkEnd w:id="56"/>
      <w:bookmarkEnd w:id="57"/>
      <w:bookmarkEnd w:id="58"/>
      <w:r w:rsidRPr="00426373">
        <w:rPr>
          <w:lang w:val="fr-FR"/>
        </w:rPr>
        <w:t>plus de 15.000 travailleurs dans des formations IFP</w:t>
      </w:r>
      <w:bookmarkEnd w:id="59"/>
      <w:bookmarkEnd w:id="60"/>
    </w:p>
    <w:p w:rsidR="0011694F" w:rsidRPr="007F1538" w:rsidRDefault="0011694F" w:rsidP="00BE65D4">
      <w:pPr>
        <w:rPr>
          <w:rFonts w:cs="Arial"/>
          <w:lang w:val="fr-FR"/>
        </w:rPr>
      </w:pPr>
    </w:p>
    <w:p w:rsidR="00BE65D4" w:rsidRPr="007F1538" w:rsidRDefault="00426373" w:rsidP="00BE65D4">
      <w:pPr>
        <w:rPr>
          <w:rFonts w:cs="Arial"/>
          <w:lang w:val="fr-FR"/>
        </w:rPr>
      </w:pPr>
      <w:r w:rsidRPr="00426373">
        <w:rPr>
          <w:rFonts w:cs="Arial"/>
          <w:lang w:val="fr-FR"/>
        </w:rPr>
        <w:t>En 2009, 15.394 des travailleurs des commissions paritaires 118 et 220 ont suivi une formation IFP.</w:t>
      </w:r>
      <w:r w:rsidR="00BE65D4" w:rsidRPr="007F1538">
        <w:rPr>
          <w:rFonts w:cs="Arial"/>
          <w:lang w:val="fr-FR"/>
        </w:rPr>
        <w:t xml:space="preserve"> </w:t>
      </w:r>
      <w:r w:rsidRPr="00426373">
        <w:rPr>
          <w:rFonts w:cs="Arial"/>
          <w:lang w:val="fr-FR"/>
        </w:rPr>
        <w:t>Il s’agit d’une augmentation de 2.551 unités par rapport à l’année passée, soit une hausse de 19,9%.</w:t>
      </w:r>
      <w:r w:rsidR="00BE65D4" w:rsidRPr="007F1538">
        <w:rPr>
          <w:rFonts w:cs="Arial"/>
          <w:lang w:val="fr-FR"/>
        </w:rPr>
        <w:t xml:space="preserve"> </w:t>
      </w:r>
      <w:r w:rsidRPr="00426373">
        <w:rPr>
          <w:rFonts w:cs="Arial"/>
          <w:lang w:val="fr-FR"/>
        </w:rPr>
        <w:t>Au total, ils ont suivi plus de 24.164 formations ou modules de formation.</w:t>
      </w:r>
      <w:r w:rsidR="00BE65D4" w:rsidRPr="007F1538">
        <w:rPr>
          <w:rFonts w:cs="Arial"/>
          <w:lang w:val="fr-FR"/>
        </w:rPr>
        <w:t xml:space="preserve"> </w:t>
      </w:r>
      <w:r w:rsidRPr="00426373">
        <w:rPr>
          <w:rFonts w:cs="Arial"/>
          <w:lang w:val="fr-FR"/>
        </w:rPr>
        <w:t>Il s’agit d’une augmentation d'environ 21,4% par rapport à 2008.</w:t>
      </w:r>
    </w:p>
    <w:p w:rsidR="00BE65D4" w:rsidRPr="007F1538" w:rsidRDefault="00BE65D4" w:rsidP="00BE65D4">
      <w:pPr>
        <w:jc w:val="both"/>
        <w:rPr>
          <w:rFonts w:cs="Arial"/>
          <w:lang w:val="fr-FR"/>
        </w:rPr>
      </w:pPr>
    </w:p>
    <w:p w:rsidR="00BE65D4" w:rsidRPr="007F1538" w:rsidRDefault="007A50E0" w:rsidP="000F5E91">
      <w:pPr>
        <w:rPr>
          <w:rFonts w:cs="Arial"/>
          <w:lang w:val="fr-FR"/>
        </w:rPr>
      </w:pPr>
      <w:r>
        <w:rPr>
          <w:rFonts w:cs="Arial"/>
          <w:lang w:val="fr-FR"/>
        </w:rPr>
        <w:t>Tableau 14</w:t>
      </w:r>
      <w:r w:rsidR="00426373" w:rsidRPr="00D30409">
        <w:rPr>
          <w:rFonts w:cs="Arial"/>
          <w:lang w:val="fr-FR"/>
        </w:rPr>
        <w:t xml:space="preserve"> : nombre de participants et de travailleurs </w:t>
      </w:r>
      <w:r w:rsidR="00D30409" w:rsidRPr="00D30409">
        <w:rPr>
          <w:rFonts w:cs="Arial"/>
          <w:lang w:val="fr-FR"/>
        </w:rPr>
        <w:t>couverts</w:t>
      </w:r>
      <w:r w:rsidR="00426373" w:rsidRPr="00D30409">
        <w:rPr>
          <w:rFonts w:cs="Arial"/>
          <w:lang w:val="fr-FR"/>
        </w:rPr>
        <w:t xml:space="preserve"> par des initiatives de formation de l’IFP</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6"/>
        <w:gridCol w:w="851"/>
        <w:gridCol w:w="850"/>
        <w:gridCol w:w="851"/>
        <w:gridCol w:w="850"/>
        <w:gridCol w:w="851"/>
        <w:gridCol w:w="992"/>
        <w:gridCol w:w="850"/>
        <w:gridCol w:w="851"/>
        <w:gridCol w:w="851"/>
      </w:tblGrid>
      <w:tr w:rsidR="00716916" w:rsidRPr="007F1538" w:rsidTr="00426373">
        <w:tc>
          <w:tcPr>
            <w:tcW w:w="1276" w:type="dxa"/>
            <w:tcBorders>
              <w:bottom w:val="single" w:sz="4" w:space="0" w:color="auto"/>
            </w:tcBorders>
          </w:tcPr>
          <w:p w:rsidR="00716916" w:rsidRPr="007F1538" w:rsidRDefault="00716916" w:rsidP="00E212B4">
            <w:pPr>
              <w:spacing w:before="60"/>
              <w:jc w:val="center"/>
              <w:rPr>
                <w:rFonts w:cs="Arial"/>
                <w:bCs/>
                <w:iCs/>
                <w:lang w:val="fr-FR"/>
              </w:rPr>
            </w:pPr>
          </w:p>
        </w:tc>
        <w:tc>
          <w:tcPr>
            <w:tcW w:w="851"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2001</w:t>
            </w:r>
          </w:p>
        </w:tc>
        <w:tc>
          <w:tcPr>
            <w:tcW w:w="850"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2002</w:t>
            </w:r>
          </w:p>
        </w:tc>
        <w:tc>
          <w:tcPr>
            <w:tcW w:w="851"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2003</w:t>
            </w:r>
          </w:p>
        </w:tc>
        <w:tc>
          <w:tcPr>
            <w:tcW w:w="850"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2004</w:t>
            </w:r>
          </w:p>
        </w:tc>
        <w:tc>
          <w:tcPr>
            <w:tcW w:w="851"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2005</w:t>
            </w:r>
          </w:p>
        </w:tc>
        <w:tc>
          <w:tcPr>
            <w:tcW w:w="992"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2006</w:t>
            </w:r>
          </w:p>
        </w:tc>
        <w:tc>
          <w:tcPr>
            <w:tcW w:w="850"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2007</w:t>
            </w:r>
          </w:p>
        </w:tc>
        <w:tc>
          <w:tcPr>
            <w:tcW w:w="851"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2008</w:t>
            </w:r>
          </w:p>
        </w:tc>
        <w:tc>
          <w:tcPr>
            <w:tcW w:w="851" w:type="dxa"/>
            <w:tcBorders>
              <w:bottom w:val="single" w:sz="4" w:space="0" w:color="auto"/>
            </w:tcBorders>
          </w:tcPr>
          <w:p w:rsidR="00716916" w:rsidRPr="007F1538" w:rsidRDefault="00716916" w:rsidP="00E212B4">
            <w:pPr>
              <w:spacing w:before="60"/>
              <w:jc w:val="center"/>
              <w:rPr>
                <w:rFonts w:cs="Arial"/>
                <w:bCs/>
                <w:iCs/>
                <w:lang w:val="fr-FR"/>
              </w:rPr>
            </w:pPr>
            <w:r w:rsidRPr="007F1538">
              <w:rPr>
                <w:rFonts w:cs="Arial"/>
                <w:bCs/>
                <w:iCs/>
                <w:lang w:val="fr-FR"/>
              </w:rPr>
              <w:t>2009</w:t>
            </w:r>
          </w:p>
        </w:tc>
      </w:tr>
      <w:tr w:rsidR="00716916" w:rsidRPr="007F1538" w:rsidTr="00426373">
        <w:tc>
          <w:tcPr>
            <w:tcW w:w="1276" w:type="dxa"/>
            <w:tcBorders>
              <w:bottom w:val="single" w:sz="2" w:space="0" w:color="999999"/>
            </w:tcBorders>
          </w:tcPr>
          <w:p w:rsidR="00716916" w:rsidRPr="007F1538" w:rsidRDefault="00426373" w:rsidP="00690B4E">
            <w:pPr>
              <w:spacing w:before="60"/>
              <w:jc w:val="center"/>
              <w:rPr>
                <w:rFonts w:cs="Arial"/>
                <w:lang w:val="fr-FR"/>
              </w:rPr>
            </w:pPr>
            <w:r w:rsidRPr="00426373">
              <w:rPr>
                <w:rFonts w:cs="Arial"/>
                <w:lang w:val="fr-FR"/>
              </w:rPr>
              <w:t>Participants</w:t>
            </w:r>
          </w:p>
        </w:tc>
        <w:tc>
          <w:tcPr>
            <w:tcW w:w="851" w:type="dxa"/>
            <w:tcBorders>
              <w:bottom w:val="single" w:sz="2" w:space="0" w:color="999999"/>
            </w:tcBorders>
            <w:vAlign w:val="center"/>
          </w:tcPr>
          <w:p w:rsidR="00716916" w:rsidRPr="007F1538" w:rsidRDefault="00716916" w:rsidP="00E212B4">
            <w:pPr>
              <w:spacing w:before="60"/>
              <w:jc w:val="center"/>
              <w:rPr>
                <w:rFonts w:cs="Arial"/>
                <w:lang w:val="fr-FR"/>
              </w:rPr>
            </w:pPr>
            <w:r w:rsidRPr="007F1538">
              <w:rPr>
                <w:rFonts w:cs="Arial"/>
                <w:lang w:val="fr-FR"/>
              </w:rPr>
              <w:t>10.802</w:t>
            </w:r>
          </w:p>
        </w:tc>
        <w:tc>
          <w:tcPr>
            <w:tcW w:w="850" w:type="dxa"/>
            <w:tcBorders>
              <w:bottom w:val="single" w:sz="2" w:space="0" w:color="999999"/>
            </w:tcBorders>
            <w:vAlign w:val="center"/>
          </w:tcPr>
          <w:p w:rsidR="00716916" w:rsidRPr="007F1538" w:rsidRDefault="00716916" w:rsidP="00E212B4">
            <w:pPr>
              <w:spacing w:before="60"/>
              <w:jc w:val="center"/>
              <w:rPr>
                <w:rFonts w:cs="Arial"/>
                <w:lang w:val="fr-FR"/>
              </w:rPr>
            </w:pPr>
            <w:r w:rsidRPr="007F1538">
              <w:rPr>
                <w:rFonts w:cs="Arial"/>
                <w:lang w:val="fr-FR"/>
              </w:rPr>
              <w:t>12.693</w:t>
            </w:r>
          </w:p>
        </w:tc>
        <w:tc>
          <w:tcPr>
            <w:tcW w:w="851" w:type="dxa"/>
            <w:tcBorders>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13.164</w:t>
            </w:r>
          </w:p>
        </w:tc>
        <w:tc>
          <w:tcPr>
            <w:tcW w:w="850" w:type="dxa"/>
            <w:tcBorders>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14.279</w:t>
            </w:r>
          </w:p>
        </w:tc>
        <w:tc>
          <w:tcPr>
            <w:tcW w:w="851" w:type="dxa"/>
            <w:tcBorders>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14.138</w:t>
            </w:r>
          </w:p>
        </w:tc>
        <w:tc>
          <w:tcPr>
            <w:tcW w:w="992" w:type="dxa"/>
            <w:tcBorders>
              <w:bottom w:val="single" w:sz="2" w:space="0" w:color="999999"/>
            </w:tcBorders>
          </w:tcPr>
          <w:p w:rsidR="00716916" w:rsidRPr="007F1538" w:rsidRDefault="00716916" w:rsidP="00E212B4">
            <w:pPr>
              <w:spacing w:before="60"/>
              <w:jc w:val="center"/>
              <w:rPr>
                <w:rFonts w:cs="Arial"/>
                <w:bCs/>
                <w:iCs/>
                <w:lang w:val="fr-FR"/>
              </w:rPr>
            </w:pPr>
            <w:r w:rsidRPr="007F1538">
              <w:rPr>
                <w:rFonts w:cs="Arial"/>
                <w:bCs/>
                <w:iCs/>
                <w:lang w:val="fr-FR"/>
              </w:rPr>
              <w:t>15.338</w:t>
            </w:r>
          </w:p>
        </w:tc>
        <w:tc>
          <w:tcPr>
            <w:tcW w:w="850" w:type="dxa"/>
            <w:tcBorders>
              <w:bottom w:val="single" w:sz="2" w:space="0" w:color="999999"/>
            </w:tcBorders>
          </w:tcPr>
          <w:p w:rsidR="00716916" w:rsidRPr="007F1538" w:rsidRDefault="00716916" w:rsidP="00E212B4">
            <w:pPr>
              <w:spacing w:before="60"/>
              <w:jc w:val="center"/>
              <w:rPr>
                <w:rFonts w:cs="Arial"/>
                <w:bCs/>
                <w:iCs/>
                <w:lang w:val="fr-FR"/>
              </w:rPr>
            </w:pPr>
            <w:r w:rsidRPr="007F1538">
              <w:rPr>
                <w:rFonts w:cs="Arial"/>
                <w:bCs/>
                <w:iCs/>
                <w:lang w:val="fr-FR"/>
              </w:rPr>
              <w:t>17.532</w:t>
            </w:r>
          </w:p>
        </w:tc>
        <w:tc>
          <w:tcPr>
            <w:tcW w:w="851" w:type="dxa"/>
            <w:tcBorders>
              <w:bottom w:val="single" w:sz="2" w:space="0" w:color="999999"/>
            </w:tcBorders>
            <w:vAlign w:val="bottom"/>
          </w:tcPr>
          <w:p w:rsidR="00716916" w:rsidRPr="007F1538" w:rsidRDefault="00716916" w:rsidP="00E212B4">
            <w:pPr>
              <w:jc w:val="center"/>
              <w:rPr>
                <w:rFonts w:cs="Arial"/>
                <w:lang w:val="fr-FR"/>
              </w:rPr>
            </w:pPr>
            <w:r w:rsidRPr="007F1538">
              <w:rPr>
                <w:rFonts w:cs="Arial"/>
                <w:lang w:val="fr-FR"/>
              </w:rPr>
              <w:t>19.904</w:t>
            </w:r>
          </w:p>
        </w:tc>
        <w:tc>
          <w:tcPr>
            <w:tcW w:w="851" w:type="dxa"/>
            <w:tcBorders>
              <w:bottom w:val="single" w:sz="2" w:space="0" w:color="999999"/>
            </w:tcBorders>
          </w:tcPr>
          <w:p w:rsidR="00716916" w:rsidRPr="007F1538" w:rsidRDefault="00BC56A8" w:rsidP="00E212B4">
            <w:pPr>
              <w:jc w:val="center"/>
              <w:rPr>
                <w:rFonts w:cs="Arial"/>
                <w:lang w:val="fr-FR"/>
              </w:rPr>
            </w:pPr>
            <w:r w:rsidRPr="007F1538">
              <w:rPr>
                <w:rFonts w:cs="Arial"/>
                <w:lang w:val="fr-FR"/>
              </w:rPr>
              <w:t>24164</w:t>
            </w:r>
          </w:p>
        </w:tc>
      </w:tr>
      <w:tr w:rsidR="00716916" w:rsidRPr="007F1538" w:rsidTr="00426373">
        <w:tc>
          <w:tcPr>
            <w:tcW w:w="1276" w:type="dxa"/>
            <w:tcBorders>
              <w:bottom w:val="single" w:sz="2" w:space="0" w:color="999999"/>
            </w:tcBorders>
          </w:tcPr>
          <w:p w:rsidR="00716916" w:rsidRPr="007F1538" w:rsidRDefault="00426373" w:rsidP="00690B4E">
            <w:pPr>
              <w:spacing w:before="60"/>
              <w:jc w:val="center"/>
              <w:rPr>
                <w:rFonts w:cs="Arial"/>
                <w:lang w:val="fr-FR"/>
              </w:rPr>
            </w:pPr>
            <w:r w:rsidRPr="00426373">
              <w:rPr>
                <w:rFonts w:cs="Arial"/>
                <w:lang w:val="fr-FR"/>
              </w:rPr>
              <w:t>Travailleurs</w:t>
            </w:r>
          </w:p>
        </w:tc>
        <w:tc>
          <w:tcPr>
            <w:tcW w:w="851" w:type="dxa"/>
            <w:tcBorders>
              <w:bottom w:val="single" w:sz="2" w:space="0" w:color="999999"/>
            </w:tcBorders>
            <w:vAlign w:val="center"/>
          </w:tcPr>
          <w:p w:rsidR="00716916" w:rsidRPr="007F1538" w:rsidRDefault="00716916" w:rsidP="00E212B4">
            <w:pPr>
              <w:spacing w:before="60"/>
              <w:jc w:val="center"/>
              <w:rPr>
                <w:rFonts w:cs="Arial"/>
                <w:lang w:val="fr-FR"/>
              </w:rPr>
            </w:pPr>
            <w:r w:rsidRPr="007F1538">
              <w:rPr>
                <w:rFonts w:cs="Arial"/>
                <w:lang w:val="fr-FR"/>
              </w:rPr>
              <w:t>8.502</w:t>
            </w:r>
          </w:p>
        </w:tc>
        <w:tc>
          <w:tcPr>
            <w:tcW w:w="850" w:type="dxa"/>
            <w:tcBorders>
              <w:bottom w:val="single" w:sz="2" w:space="0" w:color="999999"/>
            </w:tcBorders>
            <w:vAlign w:val="center"/>
          </w:tcPr>
          <w:p w:rsidR="00716916" w:rsidRPr="007F1538" w:rsidRDefault="00716916" w:rsidP="00E212B4">
            <w:pPr>
              <w:tabs>
                <w:tab w:val="left" w:pos="1217"/>
              </w:tabs>
              <w:spacing w:before="60"/>
              <w:jc w:val="center"/>
              <w:rPr>
                <w:rFonts w:cs="Arial"/>
                <w:lang w:val="fr-FR"/>
              </w:rPr>
            </w:pPr>
            <w:r w:rsidRPr="007F1538">
              <w:rPr>
                <w:rFonts w:cs="Arial"/>
                <w:lang w:val="fr-FR"/>
              </w:rPr>
              <w:t>8.994</w:t>
            </w:r>
          </w:p>
        </w:tc>
        <w:tc>
          <w:tcPr>
            <w:tcW w:w="851" w:type="dxa"/>
            <w:tcBorders>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9.488</w:t>
            </w:r>
          </w:p>
        </w:tc>
        <w:tc>
          <w:tcPr>
            <w:tcW w:w="850" w:type="dxa"/>
            <w:tcBorders>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8.766</w:t>
            </w:r>
          </w:p>
        </w:tc>
        <w:tc>
          <w:tcPr>
            <w:tcW w:w="851" w:type="dxa"/>
            <w:tcBorders>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10.130</w:t>
            </w:r>
          </w:p>
        </w:tc>
        <w:tc>
          <w:tcPr>
            <w:tcW w:w="992" w:type="dxa"/>
            <w:tcBorders>
              <w:bottom w:val="single" w:sz="2" w:space="0" w:color="999999"/>
            </w:tcBorders>
          </w:tcPr>
          <w:p w:rsidR="00716916" w:rsidRPr="007F1538" w:rsidRDefault="00716916" w:rsidP="00E212B4">
            <w:pPr>
              <w:spacing w:before="60"/>
              <w:jc w:val="center"/>
              <w:rPr>
                <w:rFonts w:cs="Arial"/>
                <w:bCs/>
                <w:iCs/>
                <w:lang w:val="fr-FR"/>
              </w:rPr>
            </w:pPr>
            <w:r w:rsidRPr="007F1538">
              <w:rPr>
                <w:rFonts w:cs="Arial"/>
                <w:bCs/>
                <w:iCs/>
                <w:lang w:val="fr-FR"/>
              </w:rPr>
              <w:t>10.628</w:t>
            </w:r>
          </w:p>
        </w:tc>
        <w:tc>
          <w:tcPr>
            <w:tcW w:w="850" w:type="dxa"/>
            <w:tcBorders>
              <w:bottom w:val="single" w:sz="2" w:space="0" w:color="999999"/>
            </w:tcBorders>
          </w:tcPr>
          <w:p w:rsidR="00716916" w:rsidRPr="007F1538" w:rsidRDefault="00716916" w:rsidP="00E212B4">
            <w:pPr>
              <w:spacing w:before="60"/>
              <w:jc w:val="center"/>
              <w:rPr>
                <w:rFonts w:cs="Arial"/>
                <w:bCs/>
                <w:iCs/>
                <w:lang w:val="fr-FR"/>
              </w:rPr>
            </w:pPr>
            <w:r w:rsidRPr="007F1538">
              <w:rPr>
                <w:rFonts w:cs="Arial"/>
                <w:bCs/>
                <w:iCs/>
                <w:lang w:val="fr-FR"/>
              </w:rPr>
              <w:t>12.167</w:t>
            </w:r>
          </w:p>
        </w:tc>
        <w:tc>
          <w:tcPr>
            <w:tcW w:w="851" w:type="dxa"/>
            <w:tcBorders>
              <w:bottom w:val="single" w:sz="2" w:space="0" w:color="999999"/>
            </w:tcBorders>
            <w:vAlign w:val="bottom"/>
          </w:tcPr>
          <w:p w:rsidR="00716916" w:rsidRPr="007F1538" w:rsidRDefault="00716916" w:rsidP="00E212B4">
            <w:pPr>
              <w:jc w:val="center"/>
              <w:rPr>
                <w:rFonts w:cs="Arial"/>
                <w:lang w:val="fr-FR"/>
              </w:rPr>
            </w:pPr>
            <w:r w:rsidRPr="007F1538">
              <w:rPr>
                <w:rFonts w:cs="Arial"/>
                <w:lang w:val="fr-FR"/>
              </w:rPr>
              <w:t>12.843</w:t>
            </w:r>
          </w:p>
        </w:tc>
        <w:tc>
          <w:tcPr>
            <w:tcW w:w="851" w:type="dxa"/>
            <w:tcBorders>
              <w:bottom w:val="single" w:sz="2" w:space="0" w:color="999999"/>
            </w:tcBorders>
          </w:tcPr>
          <w:p w:rsidR="00716916" w:rsidRPr="007F1538" w:rsidRDefault="00487C72" w:rsidP="00E212B4">
            <w:pPr>
              <w:jc w:val="center"/>
              <w:rPr>
                <w:rFonts w:cs="Arial"/>
                <w:lang w:val="fr-FR"/>
              </w:rPr>
            </w:pPr>
            <w:r w:rsidRPr="007F1538">
              <w:rPr>
                <w:rFonts w:cs="Arial"/>
                <w:lang w:val="fr-FR"/>
              </w:rPr>
              <w:t>15394</w:t>
            </w:r>
          </w:p>
        </w:tc>
      </w:tr>
      <w:tr w:rsidR="00716916" w:rsidRPr="007F1538" w:rsidTr="00426373">
        <w:tc>
          <w:tcPr>
            <w:tcW w:w="1276" w:type="dxa"/>
            <w:tcBorders>
              <w:top w:val="single" w:sz="2" w:space="0" w:color="999999"/>
              <w:bottom w:val="single" w:sz="2" w:space="0" w:color="999999"/>
            </w:tcBorders>
          </w:tcPr>
          <w:p w:rsidR="00716916" w:rsidRPr="007F1538" w:rsidRDefault="00426373" w:rsidP="00690B4E">
            <w:pPr>
              <w:spacing w:before="60"/>
              <w:jc w:val="center"/>
              <w:rPr>
                <w:rFonts w:cs="Arial"/>
                <w:lang w:val="fr-FR"/>
              </w:rPr>
            </w:pPr>
            <w:r w:rsidRPr="00426373">
              <w:rPr>
                <w:rFonts w:cs="Arial"/>
                <w:lang w:val="fr-FR"/>
              </w:rPr>
              <w:t>Population</w:t>
            </w:r>
          </w:p>
        </w:tc>
        <w:tc>
          <w:tcPr>
            <w:tcW w:w="851" w:type="dxa"/>
            <w:tcBorders>
              <w:top w:val="single" w:sz="2" w:space="0" w:color="999999"/>
              <w:bottom w:val="single" w:sz="2" w:space="0" w:color="999999"/>
            </w:tcBorders>
            <w:vAlign w:val="center"/>
          </w:tcPr>
          <w:p w:rsidR="00716916" w:rsidRPr="007F1538" w:rsidRDefault="00716916" w:rsidP="00E212B4">
            <w:pPr>
              <w:spacing w:before="60"/>
              <w:ind w:right="-97"/>
              <w:jc w:val="center"/>
              <w:rPr>
                <w:rFonts w:cs="Arial"/>
                <w:lang w:val="fr-FR"/>
              </w:rPr>
            </w:pPr>
            <w:r w:rsidRPr="007F1538">
              <w:rPr>
                <w:rFonts w:cs="Arial"/>
                <w:lang w:val="fr-FR"/>
              </w:rPr>
              <w:t>86.477</w:t>
            </w:r>
          </w:p>
        </w:tc>
        <w:tc>
          <w:tcPr>
            <w:tcW w:w="850" w:type="dxa"/>
            <w:tcBorders>
              <w:top w:val="single" w:sz="2" w:space="0" w:color="999999"/>
              <w:bottom w:val="single" w:sz="2" w:space="0" w:color="999999"/>
            </w:tcBorders>
            <w:vAlign w:val="center"/>
          </w:tcPr>
          <w:p w:rsidR="00716916" w:rsidRPr="007F1538" w:rsidRDefault="00716916" w:rsidP="00E212B4">
            <w:pPr>
              <w:spacing w:before="60"/>
              <w:ind w:right="60"/>
              <w:jc w:val="center"/>
              <w:rPr>
                <w:rFonts w:cs="Arial"/>
                <w:lang w:val="fr-FR"/>
              </w:rPr>
            </w:pPr>
            <w:r w:rsidRPr="007F1538">
              <w:rPr>
                <w:rFonts w:cs="Arial"/>
                <w:lang w:val="fr-FR"/>
              </w:rPr>
              <w:t>86.955</w:t>
            </w:r>
          </w:p>
        </w:tc>
        <w:tc>
          <w:tcPr>
            <w:tcW w:w="851" w:type="dxa"/>
            <w:tcBorders>
              <w:top w:val="single" w:sz="2" w:space="0" w:color="999999"/>
              <w:bottom w:val="single" w:sz="2" w:space="0" w:color="999999"/>
            </w:tcBorders>
            <w:vAlign w:val="center"/>
          </w:tcPr>
          <w:p w:rsidR="00716916" w:rsidRPr="007F1538" w:rsidRDefault="00716916" w:rsidP="00E212B4">
            <w:pPr>
              <w:spacing w:before="60"/>
              <w:ind w:right="37"/>
              <w:jc w:val="center"/>
              <w:rPr>
                <w:rFonts w:cs="Arial"/>
                <w:lang w:val="fr-FR"/>
              </w:rPr>
            </w:pPr>
            <w:r w:rsidRPr="007F1538">
              <w:rPr>
                <w:rFonts w:cs="Arial"/>
                <w:lang w:val="fr-FR"/>
              </w:rPr>
              <w:t>87.585</w:t>
            </w:r>
          </w:p>
        </w:tc>
        <w:tc>
          <w:tcPr>
            <w:tcW w:w="850" w:type="dxa"/>
            <w:tcBorders>
              <w:top w:val="single" w:sz="2" w:space="0" w:color="999999"/>
              <w:bottom w:val="single" w:sz="2" w:space="0" w:color="999999"/>
            </w:tcBorders>
            <w:vAlign w:val="bottom"/>
          </w:tcPr>
          <w:p w:rsidR="00716916" w:rsidRPr="007F1538" w:rsidRDefault="00716916" w:rsidP="00E212B4">
            <w:pPr>
              <w:spacing w:before="60"/>
              <w:ind w:right="60"/>
              <w:jc w:val="center"/>
              <w:rPr>
                <w:rFonts w:cs="Arial"/>
                <w:lang w:val="fr-FR"/>
              </w:rPr>
            </w:pPr>
            <w:r w:rsidRPr="007F1538">
              <w:rPr>
                <w:rFonts w:cs="Arial"/>
                <w:lang w:val="fr-FR"/>
              </w:rPr>
              <w:t>90.662</w:t>
            </w:r>
          </w:p>
        </w:tc>
        <w:tc>
          <w:tcPr>
            <w:tcW w:w="851" w:type="dxa"/>
            <w:tcBorders>
              <w:top w:val="single" w:sz="2" w:space="0" w:color="999999"/>
              <w:bottom w:val="single" w:sz="2" w:space="0" w:color="999999"/>
            </w:tcBorders>
            <w:vAlign w:val="bottom"/>
          </w:tcPr>
          <w:p w:rsidR="00716916" w:rsidRPr="007F1538" w:rsidRDefault="00716916" w:rsidP="00E212B4">
            <w:pPr>
              <w:spacing w:before="60"/>
              <w:ind w:right="60"/>
              <w:jc w:val="center"/>
              <w:rPr>
                <w:rFonts w:cs="Arial"/>
                <w:lang w:val="fr-FR"/>
              </w:rPr>
            </w:pPr>
            <w:r w:rsidRPr="007F1538">
              <w:rPr>
                <w:rFonts w:cs="Arial"/>
                <w:lang w:val="fr-FR"/>
              </w:rPr>
              <w:t>90.540</w:t>
            </w:r>
          </w:p>
        </w:tc>
        <w:tc>
          <w:tcPr>
            <w:tcW w:w="992" w:type="dxa"/>
            <w:tcBorders>
              <w:top w:val="single" w:sz="2" w:space="0" w:color="999999"/>
              <w:bottom w:val="single" w:sz="2" w:space="0" w:color="999999"/>
            </w:tcBorders>
          </w:tcPr>
          <w:p w:rsidR="00716916" w:rsidRPr="007F1538" w:rsidRDefault="00716916" w:rsidP="00E212B4">
            <w:pPr>
              <w:spacing w:before="60"/>
              <w:jc w:val="center"/>
              <w:rPr>
                <w:rFonts w:cs="Arial"/>
                <w:bCs/>
                <w:iCs/>
                <w:lang w:val="fr-FR"/>
              </w:rPr>
            </w:pPr>
            <w:r w:rsidRPr="007F1538">
              <w:rPr>
                <w:rFonts w:cs="Arial"/>
                <w:bCs/>
                <w:iCs/>
                <w:lang w:val="fr-FR"/>
              </w:rPr>
              <w:t>89.518</w:t>
            </w:r>
          </w:p>
        </w:tc>
        <w:tc>
          <w:tcPr>
            <w:tcW w:w="850" w:type="dxa"/>
            <w:tcBorders>
              <w:top w:val="single" w:sz="2" w:space="0" w:color="999999"/>
              <w:bottom w:val="single" w:sz="2" w:space="0" w:color="999999"/>
            </w:tcBorders>
          </w:tcPr>
          <w:p w:rsidR="00716916" w:rsidRPr="007F1538" w:rsidRDefault="00716916" w:rsidP="00E212B4">
            <w:pPr>
              <w:spacing w:before="60"/>
              <w:jc w:val="center"/>
              <w:rPr>
                <w:rFonts w:cs="Arial"/>
                <w:bCs/>
                <w:iCs/>
                <w:lang w:val="fr-FR"/>
              </w:rPr>
            </w:pPr>
            <w:r w:rsidRPr="007F1538">
              <w:rPr>
                <w:rFonts w:cs="Arial"/>
                <w:bCs/>
                <w:iCs/>
                <w:lang w:val="fr-FR"/>
              </w:rPr>
              <w:t>89.220</w:t>
            </w:r>
          </w:p>
        </w:tc>
        <w:tc>
          <w:tcPr>
            <w:tcW w:w="851" w:type="dxa"/>
            <w:tcBorders>
              <w:top w:val="single" w:sz="2" w:space="0" w:color="999999"/>
              <w:bottom w:val="single" w:sz="2" w:space="0" w:color="999999"/>
            </w:tcBorders>
            <w:vAlign w:val="bottom"/>
          </w:tcPr>
          <w:p w:rsidR="00716916" w:rsidRPr="007F1538" w:rsidRDefault="00716916" w:rsidP="00E212B4">
            <w:pPr>
              <w:jc w:val="center"/>
              <w:rPr>
                <w:rFonts w:cs="Arial"/>
                <w:lang w:val="fr-FR"/>
              </w:rPr>
            </w:pPr>
            <w:r w:rsidRPr="007F1538">
              <w:rPr>
                <w:rFonts w:cs="Arial"/>
                <w:lang w:val="fr-FR"/>
              </w:rPr>
              <w:t>88.714</w:t>
            </w:r>
          </w:p>
        </w:tc>
        <w:tc>
          <w:tcPr>
            <w:tcW w:w="851" w:type="dxa"/>
            <w:tcBorders>
              <w:top w:val="single" w:sz="2" w:space="0" w:color="999999"/>
              <w:bottom w:val="single" w:sz="2" w:space="0" w:color="999999"/>
            </w:tcBorders>
          </w:tcPr>
          <w:p w:rsidR="00716916" w:rsidRPr="007F1538" w:rsidRDefault="00716916" w:rsidP="00E212B4">
            <w:pPr>
              <w:jc w:val="center"/>
              <w:rPr>
                <w:rFonts w:cs="Arial"/>
                <w:lang w:val="fr-FR"/>
              </w:rPr>
            </w:pPr>
            <w:r w:rsidRPr="007F1538">
              <w:rPr>
                <w:rFonts w:cs="Arial"/>
                <w:lang w:val="fr-FR"/>
              </w:rPr>
              <w:t>88.714</w:t>
            </w:r>
          </w:p>
        </w:tc>
      </w:tr>
      <w:tr w:rsidR="00716916" w:rsidRPr="007F1538" w:rsidTr="00426373">
        <w:tc>
          <w:tcPr>
            <w:tcW w:w="1276" w:type="dxa"/>
            <w:tcBorders>
              <w:top w:val="single" w:sz="2" w:space="0" w:color="999999"/>
            </w:tcBorders>
          </w:tcPr>
          <w:p w:rsidR="00716916" w:rsidRPr="007F1538" w:rsidRDefault="00426373" w:rsidP="00690B4E">
            <w:pPr>
              <w:spacing w:before="60"/>
              <w:jc w:val="center"/>
              <w:rPr>
                <w:rFonts w:cs="Arial"/>
                <w:i/>
                <w:lang w:val="fr-FR"/>
              </w:rPr>
            </w:pPr>
            <w:r w:rsidRPr="00426373">
              <w:rPr>
                <w:rFonts w:cs="Arial"/>
                <w:i/>
                <w:lang w:val="fr-FR"/>
              </w:rPr>
              <w:t>Couverture (%)</w:t>
            </w:r>
          </w:p>
        </w:tc>
        <w:tc>
          <w:tcPr>
            <w:tcW w:w="851" w:type="dxa"/>
            <w:tcBorders>
              <w:top w:val="single" w:sz="2" w:space="0" w:color="999999"/>
            </w:tcBorders>
            <w:vAlign w:val="center"/>
          </w:tcPr>
          <w:p w:rsidR="00716916" w:rsidRPr="007F1538" w:rsidRDefault="00716916" w:rsidP="00E212B4">
            <w:pPr>
              <w:jc w:val="center"/>
              <w:rPr>
                <w:rFonts w:cs="Arial"/>
                <w:i/>
                <w:lang w:val="fr-FR"/>
              </w:rPr>
            </w:pPr>
            <w:r w:rsidRPr="007F1538">
              <w:rPr>
                <w:rFonts w:cs="Arial"/>
                <w:i/>
                <w:lang w:val="fr-FR"/>
              </w:rPr>
              <w:t>9,8 %</w:t>
            </w:r>
          </w:p>
        </w:tc>
        <w:tc>
          <w:tcPr>
            <w:tcW w:w="850" w:type="dxa"/>
            <w:tcBorders>
              <w:top w:val="single" w:sz="2" w:space="0" w:color="999999"/>
            </w:tcBorders>
            <w:vAlign w:val="center"/>
          </w:tcPr>
          <w:p w:rsidR="00716916" w:rsidRPr="007F1538" w:rsidRDefault="00716916" w:rsidP="00E212B4">
            <w:pPr>
              <w:jc w:val="center"/>
              <w:rPr>
                <w:rFonts w:cs="Arial"/>
                <w:i/>
                <w:lang w:val="fr-FR"/>
              </w:rPr>
            </w:pPr>
            <w:r w:rsidRPr="007F1538">
              <w:rPr>
                <w:rFonts w:cs="Arial"/>
                <w:i/>
                <w:lang w:val="fr-FR"/>
              </w:rPr>
              <w:t>10,3 %</w:t>
            </w:r>
          </w:p>
        </w:tc>
        <w:tc>
          <w:tcPr>
            <w:tcW w:w="851" w:type="dxa"/>
            <w:tcBorders>
              <w:top w:val="single" w:sz="2" w:space="0" w:color="999999"/>
            </w:tcBorders>
            <w:vAlign w:val="center"/>
          </w:tcPr>
          <w:p w:rsidR="00716916" w:rsidRPr="007F1538" w:rsidRDefault="00716916" w:rsidP="00E212B4">
            <w:pPr>
              <w:jc w:val="center"/>
              <w:rPr>
                <w:rFonts w:cs="Arial"/>
                <w:i/>
                <w:lang w:val="fr-FR"/>
              </w:rPr>
            </w:pPr>
            <w:r w:rsidRPr="007F1538">
              <w:rPr>
                <w:rFonts w:cs="Arial"/>
                <w:i/>
                <w:lang w:val="fr-FR"/>
              </w:rPr>
              <w:t>10,8 %</w:t>
            </w:r>
          </w:p>
        </w:tc>
        <w:tc>
          <w:tcPr>
            <w:tcW w:w="850" w:type="dxa"/>
            <w:tcBorders>
              <w:top w:val="single" w:sz="2" w:space="0" w:color="999999"/>
            </w:tcBorders>
            <w:vAlign w:val="bottom"/>
          </w:tcPr>
          <w:p w:rsidR="00716916" w:rsidRPr="007F1538" w:rsidRDefault="00716916" w:rsidP="00E212B4">
            <w:pPr>
              <w:spacing w:before="60"/>
              <w:ind w:right="60"/>
              <w:jc w:val="center"/>
              <w:rPr>
                <w:rFonts w:cs="Arial"/>
                <w:i/>
                <w:lang w:val="fr-FR"/>
              </w:rPr>
            </w:pPr>
            <w:r w:rsidRPr="007F1538">
              <w:rPr>
                <w:rFonts w:cs="Arial"/>
                <w:i/>
                <w:lang w:val="fr-FR"/>
              </w:rPr>
              <w:t>9,7 %</w:t>
            </w:r>
          </w:p>
        </w:tc>
        <w:tc>
          <w:tcPr>
            <w:tcW w:w="851" w:type="dxa"/>
            <w:tcBorders>
              <w:top w:val="single" w:sz="2" w:space="0" w:color="999999"/>
            </w:tcBorders>
            <w:vAlign w:val="bottom"/>
          </w:tcPr>
          <w:p w:rsidR="00716916" w:rsidRPr="007F1538" w:rsidRDefault="00716916" w:rsidP="00E212B4">
            <w:pPr>
              <w:spacing w:before="60"/>
              <w:ind w:right="60"/>
              <w:jc w:val="center"/>
              <w:rPr>
                <w:rFonts w:cs="Arial"/>
                <w:i/>
                <w:lang w:val="fr-FR"/>
              </w:rPr>
            </w:pPr>
            <w:r w:rsidRPr="007F1538">
              <w:rPr>
                <w:rFonts w:cs="Arial"/>
                <w:i/>
                <w:lang w:val="fr-FR"/>
              </w:rPr>
              <w:t>11,2 %</w:t>
            </w:r>
          </w:p>
        </w:tc>
        <w:tc>
          <w:tcPr>
            <w:tcW w:w="992" w:type="dxa"/>
            <w:tcBorders>
              <w:top w:val="single" w:sz="2" w:space="0" w:color="999999"/>
            </w:tcBorders>
          </w:tcPr>
          <w:p w:rsidR="00716916" w:rsidRPr="007F1538" w:rsidRDefault="00716916" w:rsidP="00E212B4">
            <w:pPr>
              <w:spacing w:before="60"/>
              <w:jc w:val="center"/>
              <w:rPr>
                <w:rFonts w:cs="Arial"/>
                <w:bCs/>
                <w:i/>
                <w:iCs/>
                <w:lang w:val="fr-FR"/>
              </w:rPr>
            </w:pPr>
            <w:r w:rsidRPr="007F1538">
              <w:rPr>
                <w:rFonts w:cs="Arial"/>
                <w:bCs/>
                <w:i/>
                <w:iCs/>
                <w:lang w:val="fr-FR"/>
              </w:rPr>
              <w:t>11,9 %</w:t>
            </w:r>
          </w:p>
        </w:tc>
        <w:tc>
          <w:tcPr>
            <w:tcW w:w="850" w:type="dxa"/>
            <w:tcBorders>
              <w:top w:val="single" w:sz="2" w:space="0" w:color="999999"/>
            </w:tcBorders>
          </w:tcPr>
          <w:p w:rsidR="00716916" w:rsidRPr="007F1538" w:rsidRDefault="00716916" w:rsidP="00E212B4">
            <w:pPr>
              <w:spacing w:before="60"/>
              <w:jc w:val="center"/>
              <w:rPr>
                <w:rFonts w:cs="Arial"/>
                <w:bCs/>
                <w:i/>
                <w:iCs/>
                <w:lang w:val="fr-FR"/>
              </w:rPr>
            </w:pPr>
            <w:r w:rsidRPr="007F1538">
              <w:rPr>
                <w:rFonts w:cs="Arial"/>
                <w:bCs/>
                <w:i/>
                <w:iCs/>
                <w:lang w:val="fr-FR"/>
              </w:rPr>
              <w:t>13,6%</w:t>
            </w:r>
          </w:p>
        </w:tc>
        <w:tc>
          <w:tcPr>
            <w:tcW w:w="851" w:type="dxa"/>
            <w:tcBorders>
              <w:top w:val="single" w:sz="2" w:space="0" w:color="999999"/>
            </w:tcBorders>
            <w:vAlign w:val="bottom"/>
          </w:tcPr>
          <w:p w:rsidR="00716916" w:rsidRPr="007F1538" w:rsidRDefault="00716916" w:rsidP="00E212B4">
            <w:pPr>
              <w:jc w:val="center"/>
              <w:rPr>
                <w:rFonts w:cs="Arial"/>
                <w:i/>
                <w:lang w:val="fr-FR"/>
              </w:rPr>
            </w:pPr>
            <w:r w:rsidRPr="007F1538">
              <w:rPr>
                <w:rFonts w:cs="Arial"/>
                <w:i/>
                <w:lang w:val="fr-FR"/>
              </w:rPr>
              <w:t>14,5%</w:t>
            </w:r>
          </w:p>
        </w:tc>
        <w:tc>
          <w:tcPr>
            <w:tcW w:w="851" w:type="dxa"/>
            <w:tcBorders>
              <w:top w:val="single" w:sz="2" w:space="0" w:color="999999"/>
            </w:tcBorders>
          </w:tcPr>
          <w:p w:rsidR="00716916" w:rsidRPr="007F1538" w:rsidRDefault="00E212B4" w:rsidP="00E212B4">
            <w:pPr>
              <w:jc w:val="center"/>
              <w:rPr>
                <w:rFonts w:cs="Arial"/>
                <w:i/>
                <w:lang w:val="fr-FR"/>
              </w:rPr>
            </w:pPr>
            <w:r w:rsidRPr="007F1538">
              <w:rPr>
                <w:rFonts w:cs="Arial"/>
                <w:i/>
                <w:lang w:val="fr-FR"/>
              </w:rPr>
              <w:t>17,4%</w:t>
            </w:r>
          </w:p>
        </w:tc>
      </w:tr>
    </w:tbl>
    <w:p w:rsidR="00BE65D4" w:rsidRPr="007F1538" w:rsidRDefault="00BE65D4" w:rsidP="00BE65D4">
      <w:pPr>
        <w:tabs>
          <w:tab w:val="left" w:pos="540"/>
        </w:tabs>
        <w:jc w:val="both"/>
        <w:rPr>
          <w:rFonts w:cs="Arial"/>
          <w:lang w:val="fr-FR"/>
        </w:rPr>
      </w:pPr>
    </w:p>
    <w:p w:rsidR="00E212B4" w:rsidRPr="007F1538" w:rsidRDefault="00426373" w:rsidP="0042621A">
      <w:pPr>
        <w:rPr>
          <w:rFonts w:cs="Arial"/>
          <w:lang w:val="fr-FR" w:eastAsia="en-US"/>
        </w:rPr>
      </w:pPr>
      <w:r w:rsidRPr="00426373">
        <w:rPr>
          <w:rFonts w:cs="Arial"/>
          <w:lang w:val="fr-FR" w:eastAsia="en-US"/>
        </w:rPr>
        <w:t>17,4% de tous les travailleurs dans l’industrie alimentaire belge ont été couverts par l’IFP en 2009.</w:t>
      </w:r>
      <w:r w:rsidR="00E20FFB" w:rsidRPr="007F1538">
        <w:rPr>
          <w:rFonts w:cs="Arial"/>
          <w:lang w:val="fr-FR" w:eastAsia="en-US"/>
        </w:rPr>
        <w:t xml:space="preserve"> </w:t>
      </w:r>
      <w:r w:rsidRPr="00426373">
        <w:rPr>
          <w:rFonts w:cs="Arial"/>
          <w:lang w:val="fr-FR" w:eastAsia="en-US"/>
        </w:rPr>
        <w:t>La Flandre obtient les meilleurs résultats avec une couverture de 19,1% des travailleurs dans la région (14,8% en 2008), suivie par Bruxelles avec 13,9% (16,5% en 2008) et la Wallonie avec 12,8% (13,2% en 2008).</w:t>
      </w:r>
    </w:p>
    <w:p w:rsidR="0011694F" w:rsidRPr="007F1538" w:rsidRDefault="0011694F" w:rsidP="0042621A">
      <w:pPr>
        <w:rPr>
          <w:rFonts w:cs="Arial"/>
          <w:lang w:val="fr-FR" w:eastAsia="en-US"/>
        </w:rPr>
      </w:pPr>
    </w:p>
    <w:p w:rsidR="00FE4545" w:rsidRPr="007F1538" w:rsidRDefault="007A50E0" w:rsidP="0042621A">
      <w:pPr>
        <w:rPr>
          <w:rFonts w:cs="Arial"/>
          <w:b/>
          <w:lang w:val="fr-FR" w:eastAsia="en-US"/>
        </w:rPr>
      </w:pPr>
      <w:r>
        <w:rPr>
          <w:rFonts w:cs="Arial"/>
          <w:lang w:val="fr-FR" w:eastAsia="en-US"/>
        </w:rPr>
        <w:t>Tableau 15</w:t>
      </w:r>
      <w:r w:rsidR="00426373" w:rsidRPr="00426373">
        <w:rPr>
          <w:rFonts w:cs="Arial"/>
          <w:lang w:val="fr-FR" w:eastAsia="en-US"/>
        </w:rPr>
        <w:t> : couverture des travailleurs en % du nombre de travailleurs par région</w:t>
      </w:r>
      <w:r w:rsidR="0043360F" w:rsidRPr="007F1538">
        <w:rPr>
          <w:rFonts w:cs="Arial"/>
          <w:lang w:val="fr-FR" w:eastAsia="en-US"/>
        </w:rPr>
        <w:t xml:space="preserve"> </w:t>
      </w:r>
    </w:p>
    <w:tbl>
      <w:tblPr>
        <w:tblW w:w="4220" w:type="dxa"/>
        <w:tblInd w:w="94" w:type="dxa"/>
        <w:tblLook w:val="0000"/>
      </w:tblPr>
      <w:tblGrid>
        <w:gridCol w:w="1057"/>
        <w:gridCol w:w="795"/>
        <w:gridCol w:w="1206"/>
        <w:gridCol w:w="1162"/>
      </w:tblGrid>
      <w:tr w:rsidR="00BE65D4" w:rsidRPr="007F1538" w:rsidTr="00426373">
        <w:tc>
          <w:tcPr>
            <w:tcW w:w="128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BE65D4" w:rsidRPr="007F1538" w:rsidRDefault="00BE65D4" w:rsidP="001C37BE">
            <w:pPr>
              <w:rPr>
                <w:rFonts w:cs="Arial"/>
                <w:lang w:val="fr-FR" w:eastAsia="en-US"/>
              </w:rPr>
            </w:pPr>
            <w:r w:rsidRPr="007F1538">
              <w:rPr>
                <w:rFonts w:cs="Arial"/>
                <w:lang w:val="fr-FR" w:eastAsia="en-US"/>
              </w:rPr>
              <w:t> </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BE65D4" w:rsidRPr="007F1538" w:rsidRDefault="00BE65D4" w:rsidP="00E212B4">
            <w:pPr>
              <w:jc w:val="center"/>
              <w:rPr>
                <w:rFonts w:cs="Arial"/>
                <w:lang w:val="fr-FR" w:eastAsia="en-US"/>
              </w:rPr>
            </w:pPr>
            <w:r w:rsidRPr="007F1538">
              <w:rPr>
                <w:rFonts w:cs="Arial"/>
                <w:lang w:val="fr-FR" w:eastAsia="en-US"/>
              </w:rPr>
              <w:t>200</w:t>
            </w:r>
            <w:r w:rsidR="00E212B4" w:rsidRPr="007F1538">
              <w:rPr>
                <w:rFonts w:cs="Arial"/>
                <w:lang w:val="fr-FR" w:eastAsia="en-US"/>
              </w:rPr>
              <w:t>9</w:t>
            </w:r>
          </w:p>
        </w:tc>
        <w:tc>
          <w:tcPr>
            <w:tcW w:w="1996" w:type="dxa"/>
            <w:gridSpan w:val="2"/>
            <w:tcBorders>
              <w:top w:val="single" w:sz="8" w:space="0" w:color="auto"/>
              <w:left w:val="nil"/>
              <w:bottom w:val="single" w:sz="8" w:space="0" w:color="auto"/>
              <w:right w:val="single" w:sz="8" w:space="0" w:color="000000"/>
            </w:tcBorders>
            <w:shd w:val="clear" w:color="auto" w:fill="auto"/>
            <w:vAlign w:val="bottom"/>
          </w:tcPr>
          <w:p w:rsidR="00BE65D4" w:rsidRPr="007F1538" w:rsidRDefault="00BE65D4" w:rsidP="001C37BE">
            <w:pPr>
              <w:jc w:val="center"/>
              <w:rPr>
                <w:rFonts w:cs="Arial"/>
                <w:lang w:val="fr-FR" w:eastAsia="en-US"/>
              </w:rPr>
            </w:pPr>
            <w:r w:rsidRPr="007F1538">
              <w:rPr>
                <w:rFonts w:cs="Arial"/>
                <w:lang w:val="fr-FR" w:eastAsia="en-US"/>
              </w:rPr>
              <w:t>200</w:t>
            </w:r>
            <w:r w:rsidR="00E212B4" w:rsidRPr="007F1538">
              <w:rPr>
                <w:rFonts w:cs="Arial"/>
                <w:lang w:val="fr-FR" w:eastAsia="en-US"/>
              </w:rPr>
              <w:t>9</w:t>
            </w:r>
          </w:p>
        </w:tc>
      </w:tr>
      <w:tr w:rsidR="00BE65D4" w:rsidRPr="007F1538" w:rsidTr="00426373">
        <w:tc>
          <w:tcPr>
            <w:tcW w:w="1282" w:type="dxa"/>
            <w:vMerge/>
            <w:tcBorders>
              <w:top w:val="single" w:sz="8" w:space="0" w:color="auto"/>
              <w:left w:val="single" w:sz="8" w:space="0" w:color="auto"/>
              <w:bottom w:val="single" w:sz="8" w:space="0" w:color="000000"/>
              <w:right w:val="single" w:sz="8" w:space="0" w:color="auto"/>
            </w:tcBorders>
            <w:vAlign w:val="center"/>
          </w:tcPr>
          <w:p w:rsidR="00BE65D4" w:rsidRPr="007F1538" w:rsidRDefault="00BE65D4" w:rsidP="001C37BE">
            <w:pPr>
              <w:rPr>
                <w:rFonts w:cs="Arial"/>
                <w:lang w:val="fr-FR" w:eastAsia="en-US"/>
              </w:rPr>
            </w:pPr>
          </w:p>
        </w:tc>
        <w:tc>
          <w:tcPr>
            <w:tcW w:w="942" w:type="dxa"/>
            <w:vMerge/>
            <w:tcBorders>
              <w:top w:val="single" w:sz="8" w:space="0" w:color="auto"/>
              <w:left w:val="single" w:sz="8" w:space="0" w:color="auto"/>
              <w:bottom w:val="single" w:sz="8" w:space="0" w:color="000000"/>
              <w:right w:val="single" w:sz="8" w:space="0" w:color="auto"/>
            </w:tcBorders>
            <w:vAlign w:val="center"/>
          </w:tcPr>
          <w:p w:rsidR="00BE65D4" w:rsidRPr="007F1538" w:rsidRDefault="00BE65D4" w:rsidP="001C37BE">
            <w:pPr>
              <w:rPr>
                <w:rFonts w:cs="Arial"/>
                <w:lang w:val="fr-FR" w:eastAsia="en-US"/>
              </w:rPr>
            </w:pPr>
          </w:p>
        </w:tc>
        <w:tc>
          <w:tcPr>
            <w:tcW w:w="946" w:type="dxa"/>
            <w:tcBorders>
              <w:top w:val="nil"/>
              <w:left w:val="nil"/>
              <w:bottom w:val="single" w:sz="8" w:space="0" w:color="auto"/>
              <w:right w:val="single" w:sz="8" w:space="0" w:color="auto"/>
            </w:tcBorders>
            <w:shd w:val="clear" w:color="auto" w:fill="auto"/>
            <w:vAlign w:val="bottom"/>
          </w:tcPr>
          <w:p w:rsidR="00BE65D4" w:rsidRPr="007F1538" w:rsidRDefault="00426373" w:rsidP="00690B4E">
            <w:pPr>
              <w:jc w:val="center"/>
              <w:rPr>
                <w:rFonts w:cs="Arial"/>
                <w:lang w:val="fr-FR" w:eastAsia="en-US"/>
              </w:rPr>
            </w:pPr>
            <w:r w:rsidRPr="00426373">
              <w:rPr>
                <w:rFonts w:cs="Arial"/>
                <w:lang w:val="fr-FR" w:eastAsia="en-US"/>
              </w:rPr>
              <w:t>Couverture (abs.)</w:t>
            </w:r>
          </w:p>
        </w:tc>
        <w:tc>
          <w:tcPr>
            <w:tcW w:w="1050" w:type="dxa"/>
            <w:tcBorders>
              <w:top w:val="nil"/>
              <w:left w:val="nil"/>
              <w:bottom w:val="single" w:sz="8" w:space="0" w:color="auto"/>
              <w:right w:val="single" w:sz="8" w:space="0" w:color="auto"/>
            </w:tcBorders>
            <w:shd w:val="clear" w:color="auto" w:fill="auto"/>
            <w:vAlign w:val="bottom"/>
          </w:tcPr>
          <w:p w:rsidR="00BE65D4" w:rsidRPr="007F1538" w:rsidRDefault="00426373" w:rsidP="00690B4E">
            <w:pPr>
              <w:jc w:val="center"/>
              <w:rPr>
                <w:rFonts w:cs="Arial"/>
                <w:lang w:val="fr-FR" w:eastAsia="en-US"/>
              </w:rPr>
            </w:pPr>
            <w:r w:rsidRPr="00426373">
              <w:rPr>
                <w:rFonts w:cs="Arial"/>
                <w:lang w:val="fr-FR" w:eastAsia="en-US"/>
              </w:rPr>
              <w:t>Population</w:t>
            </w:r>
          </w:p>
        </w:tc>
      </w:tr>
      <w:tr w:rsidR="00C163D2" w:rsidRPr="007F1538" w:rsidTr="00426373">
        <w:tc>
          <w:tcPr>
            <w:tcW w:w="1282" w:type="dxa"/>
            <w:tcBorders>
              <w:top w:val="nil"/>
              <w:left w:val="single" w:sz="8" w:space="0" w:color="auto"/>
              <w:bottom w:val="single" w:sz="8" w:space="0" w:color="auto"/>
              <w:right w:val="single" w:sz="8" w:space="0" w:color="auto"/>
            </w:tcBorders>
            <w:shd w:val="clear" w:color="auto" w:fill="auto"/>
          </w:tcPr>
          <w:p w:rsidR="00C163D2" w:rsidRPr="007F1538" w:rsidRDefault="00426373" w:rsidP="00690B4E">
            <w:pPr>
              <w:rPr>
                <w:rFonts w:cs="Arial"/>
                <w:lang w:val="fr-FR" w:eastAsia="en-US"/>
              </w:rPr>
            </w:pPr>
            <w:r w:rsidRPr="00426373">
              <w:rPr>
                <w:rFonts w:cs="Arial"/>
                <w:lang w:val="fr-FR" w:eastAsia="en-US"/>
              </w:rPr>
              <w:t>Flandre</w:t>
            </w:r>
          </w:p>
        </w:tc>
        <w:tc>
          <w:tcPr>
            <w:tcW w:w="942" w:type="dxa"/>
            <w:tcBorders>
              <w:top w:val="nil"/>
              <w:left w:val="nil"/>
              <w:bottom w:val="single" w:sz="8" w:space="0" w:color="auto"/>
              <w:right w:val="single" w:sz="8" w:space="0" w:color="auto"/>
            </w:tcBorders>
            <w:shd w:val="clear" w:color="auto" w:fill="auto"/>
            <w:vAlign w:val="bottom"/>
          </w:tcPr>
          <w:p w:rsidR="00C163D2" w:rsidRPr="007F1538" w:rsidRDefault="00E212B4">
            <w:pPr>
              <w:jc w:val="center"/>
              <w:rPr>
                <w:rFonts w:cs="Arial"/>
                <w:lang w:val="fr-FR"/>
              </w:rPr>
            </w:pPr>
            <w:r w:rsidRPr="007F1538">
              <w:rPr>
                <w:rFonts w:cs="Arial"/>
                <w:lang w:val="fr-FR"/>
              </w:rPr>
              <w:t>19,1</w:t>
            </w:r>
            <w:r w:rsidR="004437C1" w:rsidRPr="007F1538">
              <w:rPr>
                <w:rFonts w:cs="Arial"/>
                <w:lang w:val="fr-FR"/>
              </w:rPr>
              <w:t>%</w:t>
            </w:r>
          </w:p>
        </w:tc>
        <w:tc>
          <w:tcPr>
            <w:tcW w:w="946" w:type="dxa"/>
            <w:tcBorders>
              <w:top w:val="nil"/>
              <w:left w:val="nil"/>
              <w:bottom w:val="single" w:sz="8" w:space="0" w:color="auto"/>
              <w:right w:val="single" w:sz="8" w:space="0" w:color="auto"/>
            </w:tcBorders>
            <w:shd w:val="clear" w:color="auto" w:fill="auto"/>
            <w:vAlign w:val="bottom"/>
          </w:tcPr>
          <w:p w:rsidR="00C163D2" w:rsidRPr="007F1538" w:rsidRDefault="00E212B4" w:rsidP="001C37BE">
            <w:pPr>
              <w:jc w:val="center"/>
              <w:rPr>
                <w:rFonts w:cs="Arial"/>
                <w:lang w:val="fr-FR" w:eastAsia="en-US"/>
              </w:rPr>
            </w:pPr>
            <w:r w:rsidRPr="007F1538">
              <w:rPr>
                <w:rFonts w:cs="Arial"/>
                <w:lang w:val="fr-FR" w:eastAsia="en-US"/>
              </w:rPr>
              <w:t>12</w:t>
            </w:r>
            <w:r w:rsidR="00F9462D" w:rsidRPr="007F1538">
              <w:rPr>
                <w:rFonts w:cs="Arial"/>
                <w:lang w:val="fr-FR" w:eastAsia="en-US"/>
              </w:rPr>
              <w:t>.</w:t>
            </w:r>
            <w:r w:rsidRPr="007F1538">
              <w:rPr>
                <w:rFonts w:cs="Arial"/>
                <w:lang w:val="fr-FR" w:eastAsia="en-US"/>
              </w:rPr>
              <w:t>108</w:t>
            </w:r>
          </w:p>
        </w:tc>
        <w:tc>
          <w:tcPr>
            <w:tcW w:w="1050" w:type="dxa"/>
            <w:tcBorders>
              <w:top w:val="nil"/>
              <w:left w:val="nil"/>
              <w:bottom w:val="single" w:sz="8" w:space="0" w:color="auto"/>
              <w:right w:val="single" w:sz="8" w:space="0" w:color="auto"/>
            </w:tcBorders>
            <w:shd w:val="clear" w:color="auto" w:fill="auto"/>
            <w:vAlign w:val="bottom"/>
          </w:tcPr>
          <w:p w:rsidR="00C163D2" w:rsidRPr="007F1538" w:rsidRDefault="00C163D2">
            <w:pPr>
              <w:jc w:val="center"/>
              <w:rPr>
                <w:rFonts w:cs="Arial"/>
                <w:lang w:val="fr-FR"/>
              </w:rPr>
            </w:pPr>
            <w:r w:rsidRPr="007F1538">
              <w:rPr>
                <w:rFonts w:cs="Arial"/>
                <w:lang w:val="fr-FR"/>
              </w:rPr>
              <w:t>63.394</w:t>
            </w:r>
          </w:p>
        </w:tc>
      </w:tr>
      <w:tr w:rsidR="00C163D2" w:rsidRPr="007F1538" w:rsidTr="00426373">
        <w:tc>
          <w:tcPr>
            <w:tcW w:w="1282" w:type="dxa"/>
            <w:tcBorders>
              <w:top w:val="nil"/>
              <w:left w:val="single" w:sz="8" w:space="0" w:color="auto"/>
              <w:bottom w:val="single" w:sz="8" w:space="0" w:color="auto"/>
              <w:right w:val="single" w:sz="8" w:space="0" w:color="auto"/>
            </w:tcBorders>
            <w:shd w:val="clear" w:color="auto" w:fill="auto"/>
          </w:tcPr>
          <w:p w:rsidR="00C163D2" w:rsidRPr="007F1538" w:rsidRDefault="00426373" w:rsidP="00690B4E">
            <w:pPr>
              <w:rPr>
                <w:rFonts w:cs="Arial"/>
                <w:lang w:val="fr-FR" w:eastAsia="en-US"/>
              </w:rPr>
            </w:pPr>
            <w:r w:rsidRPr="00426373">
              <w:rPr>
                <w:rFonts w:cs="Arial"/>
                <w:lang w:val="fr-FR" w:eastAsia="en-US"/>
              </w:rPr>
              <w:t>Wallonie</w:t>
            </w:r>
          </w:p>
        </w:tc>
        <w:tc>
          <w:tcPr>
            <w:tcW w:w="942" w:type="dxa"/>
            <w:tcBorders>
              <w:top w:val="nil"/>
              <w:left w:val="nil"/>
              <w:bottom w:val="single" w:sz="8" w:space="0" w:color="auto"/>
              <w:right w:val="single" w:sz="8" w:space="0" w:color="auto"/>
            </w:tcBorders>
            <w:shd w:val="clear" w:color="auto" w:fill="auto"/>
            <w:vAlign w:val="bottom"/>
          </w:tcPr>
          <w:p w:rsidR="00C163D2" w:rsidRPr="007F1538" w:rsidRDefault="00E212B4">
            <w:pPr>
              <w:jc w:val="center"/>
              <w:rPr>
                <w:rFonts w:cs="Arial"/>
                <w:lang w:val="fr-FR"/>
              </w:rPr>
            </w:pPr>
            <w:r w:rsidRPr="007F1538">
              <w:rPr>
                <w:rFonts w:cs="Arial"/>
                <w:lang w:val="fr-FR"/>
              </w:rPr>
              <w:t>12,8</w:t>
            </w:r>
            <w:r w:rsidR="004437C1" w:rsidRPr="007F1538">
              <w:rPr>
                <w:rFonts w:cs="Arial"/>
                <w:lang w:val="fr-FR"/>
              </w:rPr>
              <w:t>%</w:t>
            </w:r>
          </w:p>
        </w:tc>
        <w:tc>
          <w:tcPr>
            <w:tcW w:w="946" w:type="dxa"/>
            <w:tcBorders>
              <w:top w:val="nil"/>
              <w:left w:val="nil"/>
              <w:bottom w:val="single" w:sz="8" w:space="0" w:color="auto"/>
              <w:right w:val="single" w:sz="8" w:space="0" w:color="auto"/>
            </w:tcBorders>
            <w:shd w:val="clear" w:color="auto" w:fill="auto"/>
            <w:vAlign w:val="bottom"/>
          </w:tcPr>
          <w:p w:rsidR="00C163D2" w:rsidRPr="007F1538" w:rsidRDefault="004437C1" w:rsidP="00E212B4">
            <w:pPr>
              <w:jc w:val="center"/>
              <w:rPr>
                <w:rFonts w:cs="Arial"/>
                <w:lang w:val="fr-FR" w:eastAsia="en-US"/>
              </w:rPr>
            </w:pPr>
            <w:r w:rsidRPr="007F1538">
              <w:rPr>
                <w:rFonts w:cs="Arial"/>
                <w:lang w:val="fr-FR" w:eastAsia="en-US"/>
              </w:rPr>
              <w:t>2</w:t>
            </w:r>
            <w:r w:rsidR="00F9462D" w:rsidRPr="007F1538">
              <w:rPr>
                <w:rFonts w:cs="Arial"/>
                <w:lang w:val="fr-FR" w:eastAsia="en-US"/>
              </w:rPr>
              <w:t>.</w:t>
            </w:r>
            <w:r w:rsidRPr="007F1538">
              <w:rPr>
                <w:rFonts w:cs="Arial"/>
                <w:lang w:val="fr-FR" w:eastAsia="en-US"/>
              </w:rPr>
              <w:t>7</w:t>
            </w:r>
            <w:r w:rsidR="00E212B4" w:rsidRPr="007F1538">
              <w:rPr>
                <w:rFonts w:cs="Arial"/>
                <w:lang w:val="fr-FR" w:eastAsia="en-US"/>
              </w:rPr>
              <w:t>07</w:t>
            </w:r>
          </w:p>
        </w:tc>
        <w:tc>
          <w:tcPr>
            <w:tcW w:w="1050" w:type="dxa"/>
            <w:tcBorders>
              <w:top w:val="nil"/>
              <w:left w:val="nil"/>
              <w:bottom w:val="single" w:sz="8" w:space="0" w:color="auto"/>
              <w:right w:val="single" w:sz="8" w:space="0" w:color="auto"/>
            </w:tcBorders>
            <w:shd w:val="clear" w:color="auto" w:fill="auto"/>
            <w:vAlign w:val="bottom"/>
          </w:tcPr>
          <w:p w:rsidR="00C163D2" w:rsidRPr="007F1538" w:rsidRDefault="00C163D2">
            <w:pPr>
              <w:jc w:val="center"/>
              <w:rPr>
                <w:rFonts w:cs="Arial"/>
                <w:lang w:val="fr-FR"/>
              </w:rPr>
            </w:pPr>
            <w:r w:rsidRPr="007F1538">
              <w:rPr>
                <w:rFonts w:cs="Arial"/>
                <w:lang w:val="fr-FR"/>
              </w:rPr>
              <w:t>21.144</w:t>
            </w:r>
          </w:p>
        </w:tc>
      </w:tr>
      <w:tr w:rsidR="00C163D2" w:rsidRPr="007F1538" w:rsidTr="00426373">
        <w:tc>
          <w:tcPr>
            <w:tcW w:w="1282" w:type="dxa"/>
            <w:tcBorders>
              <w:top w:val="nil"/>
              <w:left w:val="single" w:sz="8" w:space="0" w:color="auto"/>
              <w:bottom w:val="single" w:sz="8" w:space="0" w:color="auto"/>
              <w:right w:val="single" w:sz="8" w:space="0" w:color="auto"/>
            </w:tcBorders>
            <w:shd w:val="clear" w:color="auto" w:fill="auto"/>
          </w:tcPr>
          <w:p w:rsidR="00C163D2" w:rsidRPr="007F1538" w:rsidRDefault="00426373" w:rsidP="00690B4E">
            <w:pPr>
              <w:rPr>
                <w:rFonts w:cs="Arial"/>
                <w:lang w:val="fr-FR" w:eastAsia="en-US"/>
              </w:rPr>
            </w:pPr>
            <w:r w:rsidRPr="00426373">
              <w:rPr>
                <w:rFonts w:cs="Arial"/>
                <w:lang w:val="fr-FR" w:eastAsia="en-US"/>
              </w:rPr>
              <w:t>Bruxelles</w:t>
            </w:r>
          </w:p>
        </w:tc>
        <w:tc>
          <w:tcPr>
            <w:tcW w:w="942" w:type="dxa"/>
            <w:tcBorders>
              <w:top w:val="nil"/>
              <w:left w:val="nil"/>
              <w:bottom w:val="single" w:sz="8" w:space="0" w:color="auto"/>
              <w:right w:val="single" w:sz="8" w:space="0" w:color="auto"/>
            </w:tcBorders>
            <w:shd w:val="clear" w:color="auto" w:fill="auto"/>
            <w:vAlign w:val="bottom"/>
          </w:tcPr>
          <w:p w:rsidR="00C163D2" w:rsidRPr="007F1538" w:rsidRDefault="00E212B4">
            <w:pPr>
              <w:jc w:val="center"/>
              <w:rPr>
                <w:rFonts w:cs="Arial"/>
                <w:lang w:val="fr-FR"/>
              </w:rPr>
            </w:pPr>
            <w:r w:rsidRPr="007F1538">
              <w:rPr>
                <w:rFonts w:cs="Arial"/>
                <w:lang w:val="fr-FR"/>
              </w:rPr>
              <w:t>13,9</w:t>
            </w:r>
            <w:r w:rsidR="004437C1" w:rsidRPr="007F1538">
              <w:rPr>
                <w:rFonts w:cs="Arial"/>
                <w:lang w:val="fr-FR"/>
              </w:rPr>
              <w:t>%</w:t>
            </w:r>
          </w:p>
        </w:tc>
        <w:tc>
          <w:tcPr>
            <w:tcW w:w="946" w:type="dxa"/>
            <w:tcBorders>
              <w:top w:val="nil"/>
              <w:left w:val="nil"/>
              <w:bottom w:val="single" w:sz="8" w:space="0" w:color="auto"/>
              <w:right w:val="single" w:sz="8" w:space="0" w:color="auto"/>
            </w:tcBorders>
            <w:shd w:val="clear" w:color="auto" w:fill="auto"/>
            <w:vAlign w:val="bottom"/>
          </w:tcPr>
          <w:p w:rsidR="00C163D2" w:rsidRPr="007F1538" w:rsidRDefault="004437C1" w:rsidP="001C37BE">
            <w:pPr>
              <w:jc w:val="center"/>
              <w:rPr>
                <w:rFonts w:cs="Arial"/>
                <w:lang w:val="fr-FR" w:eastAsia="en-US"/>
              </w:rPr>
            </w:pPr>
            <w:r w:rsidRPr="007F1538">
              <w:rPr>
                <w:rFonts w:cs="Arial"/>
                <w:lang w:val="fr-FR" w:eastAsia="en-US"/>
              </w:rPr>
              <w:t>6</w:t>
            </w:r>
            <w:r w:rsidR="00E212B4" w:rsidRPr="007F1538">
              <w:rPr>
                <w:rFonts w:cs="Arial"/>
                <w:lang w:val="fr-FR" w:eastAsia="en-US"/>
              </w:rPr>
              <w:t>79</w:t>
            </w:r>
          </w:p>
        </w:tc>
        <w:tc>
          <w:tcPr>
            <w:tcW w:w="1050" w:type="dxa"/>
            <w:tcBorders>
              <w:top w:val="nil"/>
              <w:left w:val="nil"/>
              <w:bottom w:val="single" w:sz="8" w:space="0" w:color="auto"/>
              <w:right w:val="single" w:sz="8" w:space="0" w:color="auto"/>
            </w:tcBorders>
            <w:shd w:val="clear" w:color="auto" w:fill="auto"/>
            <w:vAlign w:val="bottom"/>
          </w:tcPr>
          <w:p w:rsidR="00C163D2" w:rsidRPr="007F1538" w:rsidRDefault="00C163D2">
            <w:pPr>
              <w:jc w:val="center"/>
              <w:rPr>
                <w:rFonts w:cs="Arial"/>
                <w:lang w:val="fr-FR"/>
              </w:rPr>
            </w:pPr>
            <w:r w:rsidRPr="007F1538">
              <w:rPr>
                <w:rFonts w:cs="Arial"/>
                <w:lang w:val="fr-FR"/>
              </w:rPr>
              <w:t>4.176</w:t>
            </w:r>
          </w:p>
        </w:tc>
      </w:tr>
      <w:tr w:rsidR="00C163D2" w:rsidRPr="007F1538" w:rsidTr="00426373">
        <w:tc>
          <w:tcPr>
            <w:tcW w:w="1282" w:type="dxa"/>
            <w:tcBorders>
              <w:top w:val="nil"/>
              <w:left w:val="single" w:sz="8" w:space="0" w:color="auto"/>
              <w:bottom w:val="single" w:sz="8" w:space="0" w:color="auto"/>
              <w:right w:val="single" w:sz="8" w:space="0" w:color="auto"/>
            </w:tcBorders>
            <w:shd w:val="clear" w:color="auto" w:fill="auto"/>
          </w:tcPr>
          <w:p w:rsidR="00C163D2" w:rsidRPr="007F1538" w:rsidRDefault="00426373" w:rsidP="00690B4E">
            <w:pPr>
              <w:rPr>
                <w:rFonts w:cs="Arial"/>
                <w:i/>
                <w:iCs/>
                <w:lang w:val="fr-FR" w:eastAsia="en-US"/>
              </w:rPr>
            </w:pPr>
            <w:r w:rsidRPr="00426373">
              <w:rPr>
                <w:rFonts w:cs="Arial"/>
                <w:i/>
                <w:lang w:val="fr-FR" w:eastAsia="en-US"/>
              </w:rPr>
              <w:t>Total</w:t>
            </w:r>
          </w:p>
        </w:tc>
        <w:tc>
          <w:tcPr>
            <w:tcW w:w="942" w:type="dxa"/>
            <w:tcBorders>
              <w:top w:val="nil"/>
              <w:left w:val="nil"/>
              <w:bottom w:val="single" w:sz="8" w:space="0" w:color="auto"/>
              <w:right w:val="single" w:sz="8" w:space="0" w:color="auto"/>
            </w:tcBorders>
            <w:shd w:val="clear" w:color="auto" w:fill="auto"/>
            <w:vAlign w:val="bottom"/>
          </w:tcPr>
          <w:p w:rsidR="00C163D2" w:rsidRPr="007F1538" w:rsidRDefault="005B65F0" w:rsidP="00E212B4">
            <w:pPr>
              <w:jc w:val="center"/>
              <w:rPr>
                <w:rFonts w:cs="Arial"/>
                <w:i/>
                <w:lang w:val="fr-FR"/>
              </w:rPr>
            </w:pPr>
            <w:r w:rsidRPr="007F1538">
              <w:rPr>
                <w:rFonts w:cs="Arial"/>
                <w:i/>
                <w:lang w:val="fr-FR"/>
              </w:rPr>
              <w:t>1</w:t>
            </w:r>
            <w:r w:rsidR="00E212B4" w:rsidRPr="007F1538">
              <w:rPr>
                <w:rFonts w:cs="Arial"/>
                <w:i/>
                <w:lang w:val="fr-FR"/>
              </w:rPr>
              <w:t>7</w:t>
            </w:r>
            <w:r w:rsidRPr="007F1538">
              <w:rPr>
                <w:rFonts w:cs="Arial"/>
                <w:i/>
                <w:lang w:val="fr-FR"/>
              </w:rPr>
              <w:t>,</w:t>
            </w:r>
            <w:r w:rsidR="00E212B4" w:rsidRPr="007F1538">
              <w:rPr>
                <w:rFonts w:cs="Arial"/>
                <w:i/>
                <w:lang w:val="fr-FR"/>
              </w:rPr>
              <w:t>4</w:t>
            </w:r>
            <w:r w:rsidR="004437C1" w:rsidRPr="007F1538">
              <w:rPr>
                <w:rFonts w:cs="Arial"/>
                <w:i/>
                <w:lang w:val="fr-FR"/>
              </w:rPr>
              <w:t>%</w:t>
            </w:r>
          </w:p>
        </w:tc>
        <w:tc>
          <w:tcPr>
            <w:tcW w:w="946" w:type="dxa"/>
            <w:tcBorders>
              <w:top w:val="nil"/>
              <w:left w:val="nil"/>
              <w:bottom w:val="single" w:sz="8" w:space="0" w:color="auto"/>
              <w:right w:val="single" w:sz="8" w:space="0" w:color="auto"/>
            </w:tcBorders>
            <w:shd w:val="clear" w:color="auto" w:fill="auto"/>
            <w:vAlign w:val="bottom"/>
          </w:tcPr>
          <w:p w:rsidR="00C163D2" w:rsidRPr="007F1538" w:rsidRDefault="004437C1" w:rsidP="00E212B4">
            <w:pPr>
              <w:jc w:val="center"/>
              <w:rPr>
                <w:rFonts w:cs="Arial"/>
                <w:i/>
                <w:iCs/>
                <w:lang w:val="fr-FR" w:eastAsia="en-US"/>
              </w:rPr>
            </w:pPr>
            <w:r w:rsidRPr="007F1538">
              <w:rPr>
                <w:rFonts w:cs="Arial"/>
                <w:i/>
                <w:iCs/>
                <w:lang w:val="fr-FR" w:eastAsia="en-US"/>
              </w:rPr>
              <w:t>1</w:t>
            </w:r>
            <w:r w:rsidR="00E212B4" w:rsidRPr="007F1538">
              <w:rPr>
                <w:rFonts w:cs="Arial"/>
                <w:i/>
                <w:iCs/>
                <w:lang w:val="fr-FR" w:eastAsia="en-US"/>
              </w:rPr>
              <w:t>5</w:t>
            </w:r>
            <w:r w:rsidR="00F9462D" w:rsidRPr="007F1538">
              <w:rPr>
                <w:rFonts w:cs="Arial"/>
                <w:i/>
                <w:iCs/>
                <w:lang w:val="fr-FR" w:eastAsia="en-US"/>
              </w:rPr>
              <w:t>.</w:t>
            </w:r>
            <w:r w:rsidR="00E212B4" w:rsidRPr="007F1538">
              <w:rPr>
                <w:rFonts w:cs="Arial"/>
                <w:i/>
                <w:iCs/>
                <w:lang w:val="fr-FR" w:eastAsia="en-US"/>
              </w:rPr>
              <w:t>394</w:t>
            </w:r>
          </w:p>
        </w:tc>
        <w:tc>
          <w:tcPr>
            <w:tcW w:w="1050" w:type="dxa"/>
            <w:tcBorders>
              <w:top w:val="nil"/>
              <w:left w:val="nil"/>
              <w:bottom w:val="single" w:sz="8" w:space="0" w:color="auto"/>
              <w:right w:val="single" w:sz="8" w:space="0" w:color="auto"/>
            </w:tcBorders>
            <w:shd w:val="clear" w:color="auto" w:fill="auto"/>
            <w:vAlign w:val="bottom"/>
          </w:tcPr>
          <w:p w:rsidR="00C163D2" w:rsidRPr="007F1538" w:rsidRDefault="00C163D2">
            <w:pPr>
              <w:jc w:val="center"/>
              <w:rPr>
                <w:rFonts w:cs="Arial"/>
                <w:i/>
                <w:lang w:val="fr-FR"/>
              </w:rPr>
            </w:pPr>
            <w:r w:rsidRPr="007F1538">
              <w:rPr>
                <w:rFonts w:cs="Arial"/>
                <w:i/>
                <w:lang w:val="fr-FR"/>
              </w:rPr>
              <w:t>88.714</w:t>
            </w:r>
          </w:p>
        </w:tc>
      </w:tr>
    </w:tbl>
    <w:p w:rsidR="000E6CF4" w:rsidRPr="007F1538" w:rsidRDefault="000E6CF4" w:rsidP="00B33866">
      <w:pPr>
        <w:rPr>
          <w:rFonts w:cs="Arial"/>
          <w:lang w:val="fr-FR"/>
        </w:rPr>
      </w:pPr>
    </w:p>
    <w:p w:rsidR="00973157" w:rsidRPr="007F1538" w:rsidRDefault="00426373" w:rsidP="00FE4545">
      <w:pPr>
        <w:rPr>
          <w:rFonts w:cs="Arial"/>
          <w:lang w:val="fr-FR"/>
        </w:rPr>
      </w:pPr>
      <w:r w:rsidRPr="00D30409">
        <w:rPr>
          <w:rFonts w:cs="Arial"/>
          <w:lang w:val="fr-FR"/>
        </w:rPr>
        <w:t xml:space="preserve">En 2009, l’IFP a atteint presque autant d’ouvriers </w:t>
      </w:r>
      <w:r w:rsidR="00D30409" w:rsidRPr="00D30409">
        <w:rPr>
          <w:rFonts w:cs="Arial"/>
          <w:lang w:val="fr-FR"/>
        </w:rPr>
        <w:t>que</w:t>
      </w:r>
      <w:r w:rsidRPr="00D30409">
        <w:rPr>
          <w:rFonts w:cs="Arial"/>
          <w:lang w:val="fr-FR"/>
        </w:rPr>
        <w:t xml:space="preserve"> d’employés :</w:t>
      </w:r>
      <w:r w:rsidR="002E0B5E" w:rsidRPr="007F1538">
        <w:rPr>
          <w:rFonts w:cs="Arial"/>
          <w:lang w:val="fr-FR"/>
        </w:rPr>
        <w:t xml:space="preserve"> </w:t>
      </w:r>
      <w:r w:rsidRPr="00426373">
        <w:rPr>
          <w:rFonts w:cs="Arial"/>
          <w:lang w:val="fr-FR"/>
        </w:rPr>
        <w:t>17% des ouvriers et 18% des employés.</w:t>
      </w:r>
    </w:p>
    <w:p w:rsidR="0011694F" w:rsidRPr="007F1538" w:rsidRDefault="0011694F" w:rsidP="0033770C">
      <w:pPr>
        <w:rPr>
          <w:rFonts w:cs="Arial"/>
          <w:lang w:val="fr-FR"/>
        </w:rPr>
      </w:pPr>
    </w:p>
    <w:p w:rsidR="00A73AD2" w:rsidRPr="007F1538" w:rsidRDefault="007A50E0" w:rsidP="0033770C">
      <w:pPr>
        <w:rPr>
          <w:rFonts w:cs="Arial"/>
          <w:lang w:val="fr-FR"/>
        </w:rPr>
      </w:pPr>
      <w:r>
        <w:rPr>
          <w:rFonts w:cs="Arial"/>
          <w:lang w:val="fr-FR"/>
        </w:rPr>
        <w:t>Tableau 16</w:t>
      </w:r>
      <w:r w:rsidR="00826136" w:rsidRPr="00826136">
        <w:rPr>
          <w:rFonts w:cs="Arial"/>
          <w:lang w:val="fr-FR"/>
        </w:rPr>
        <w:t> : couverture des travailleurs par statut en % du nombre de travailleurs</w:t>
      </w:r>
    </w:p>
    <w:tbl>
      <w:tblPr>
        <w:tblW w:w="893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992"/>
        <w:gridCol w:w="992"/>
        <w:gridCol w:w="993"/>
        <w:gridCol w:w="992"/>
        <w:gridCol w:w="992"/>
        <w:gridCol w:w="851"/>
        <w:gridCol w:w="1134"/>
      </w:tblGrid>
      <w:tr w:rsidR="00FE4545" w:rsidRPr="007F1538" w:rsidTr="00493ECB">
        <w:tc>
          <w:tcPr>
            <w:tcW w:w="993" w:type="dxa"/>
            <w:tcBorders>
              <w:top w:val="single" w:sz="4" w:space="0" w:color="auto"/>
              <w:left w:val="single" w:sz="4" w:space="0" w:color="auto"/>
              <w:bottom w:val="double" w:sz="4" w:space="0" w:color="auto"/>
              <w:right w:val="doub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826136">
              <w:rPr>
                <w:rFonts w:cs="Arial"/>
                <w:sz w:val="20"/>
                <w:szCs w:val="20"/>
                <w:lang w:val="fr-FR" w:eastAsia="nl-NL"/>
              </w:rPr>
              <w:t>Statut</w:t>
            </w:r>
          </w:p>
        </w:tc>
        <w:tc>
          <w:tcPr>
            <w:tcW w:w="992"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spacing w:before="120"/>
              <w:jc w:val="center"/>
              <w:rPr>
                <w:rFonts w:cs="Arial"/>
                <w:lang w:val="fr-FR"/>
              </w:rPr>
            </w:pPr>
            <w:r w:rsidRPr="00583EE9">
              <w:rPr>
                <w:rFonts w:cs="Arial"/>
                <w:lang w:val="fr-FR"/>
              </w:rPr>
              <w:t>2004</w:t>
            </w:r>
          </w:p>
        </w:tc>
        <w:tc>
          <w:tcPr>
            <w:tcW w:w="992" w:type="dxa"/>
            <w:tcBorders>
              <w:top w:val="single" w:sz="4" w:space="0" w:color="auto"/>
              <w:left w:val="single" w:sz="4" w:space="0" w:color="auto"/>
              <w:bottom w:val="double" w:sz="4" w:space="0" w:color="auto"/>
              <w:right w:val="single" w:sz="4" w:space="0" w:color="auto"/>
            </w:tcBorders>
          </w:tcPr>
          <w:p w:rsidR="00FE4545" w:rsidRPr="007F1538" w:rsidRDefault="00826136" w:rsidP="00690B4E">
            <w:pPr>
              <w:spacing w:before="120"/>
              <w:jc w:val="center"/>
              <w:rPr>
                <w:rFonts w:cs="Arial"/>
                <w:lang w:val="fr-FR"/>
              </w:rPr>
            </w:pPr>
            <w:r w:rsidRPr="00583EE9">
              <w:rPr>
                <w:rFonts w:cs="Arial"/>
                <w:lang w:val="fr-FR"/>
              </w:rPr>
              <w:t>2005</w:t>
            </w:r>
          </w:p>
        </w:tc>
        <w:tc>
          <w:tcPr>
            <w:tcW w:w="992" w:type="dxa"/>
            <w:tcBorders>
              <w:top w:val="single" w:sz="4" w:space="0" w:color="auto"/>
              <w:left w:val="single" w:sz="4" w:space="0" w:color="auto"/>
              <w:bottom w:val="double" w:sz="4" w:space="0" w:color="auto"/>
              <w:right w:val="single" w:sz="4" w:space="0" w:color="auto"/>
            </w:tcBorders>
          </w:tcPr>
          <w:p w:rsidR="00FE4545" w:rsidRPr="007F1538" w:rsidRDefault="00826136" w:rsidP="00690B4E">
            <w:pPr>
              <w:spacing w:before="120"/>
              <w:jc w:val="center"/>
              <w:rPr>
                <w:rFonts w:cs="Arial"/>
                <w:lang w:val="fr-FR"/>
              </w:rPr>
            </w:pPr>
            <w:r w:rsidRPr="00583EE9">
              <w:rPr>
                <w:rFonts w:cs="Arial"/>
                <w:lang w:val="fr-FR"/>
              </w:rPr>
              <w:t>2006</w:t>
            </w:r>
          </w:p>
        </w:tc>
        <w:tc>
          <w:tcPr>
            <w:tcW w:w="993"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spacing w:before="120"/>
              <w:jc w:val="center"/>
              <w:rPr>
                <w:rFonts w:cs="Arial"/>
                <w:lang w:val="fr-FR"/>
              </w:rPr>
            </w:pPr>
            <w:r w:rsidRPr="00583EE9">
              <w:rPr>
                <w:rFonts w:cs="Arial"/>
                <w:lang w:val="fr-FR"/>
              </w:rPr>
              <w:t>2007</w:t>
            </w:r>
          </w:p>
        </w:tc>
        <w:tc>
          <w:tcPr>
            <w:tcW w:w="992"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spacing w:before="120"/>
              <w:jc w:val="center"/>
              <w:rPr>
                <w:rFonts w:cs="Arial"/>
                <w:lang w:val="fr-FR"/>
              </w:rPr>
            </w:pPr>
            <w:r w:rsidRPr="00583EE9">
              <w:rPr>
                <w:rFonts w:cs="Arial"/>
                <w:lang w:val="fr-FR"/>
              </w:rPr>
              <w:t>2008</w:t>
            </w:r>
          </w:p>
        </w:tc>
        <w:tc>
          <w:tcPr>
            <w:tcW w:w="992" w:type="dxa"/>
            <w:tcBorders>
              <w:top w:val="single" w:sz="4" w:space="0" w:color="auto"/>
              <w:left w:val="single" w:sz="4" w:space="0" w:color="auto"/>
              <w:bottom w:val="double" w:sz="4" w:space="0" w:color="auto"/>
              <w:right w:val="single" w:sz="4" w:space="0" w:color="auto"/>
            </w:tcBorders>
          </w:tcPr>
          <w:p w:rsidR="00FE4545" w:rsidRPr="007F1538" w:rsidRDefault="00826136" w:rsidP="00690B4E">
            <w:pPr>
              <w:spacing w:before="120"/>
              <w:jc w:val="center"/>
              <w:rPr>
                <w:rFonts w:cs="Arial"/>
                <w:lang w:val="fr-FR"/>
              </w:rPr>
            </w:pPr>
            <w:r w:rsidRPr="00583EE9">
              <w:rPr>
                <w:rFonts w:cs="Arial"/>
                <w:lang w:val="fr-FR"/>
              </w:rPr>
              <w:t>2009</w:t>
            </w:r>
          </w:p>
        </w:tc>
        <w:tc>
          <w:tcPr>
            <w:tcW w:w="851"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spacing w:before="120"/>
              <w:jc w:val="center"/>
              <w:rPr>
                <w:rFonts w:cs="Arial"/>
                <w:lang w:val="fr-FR"/>
              </w:rPr>
            </w:pPr>
            <w:r w:rsidRPr="00826136">
              <w:rPr>
                <w:rFonts w:cs="Arial"/>
                <w:lang w:val="fr-FR"/>
              </w:rPr>
              <w:t>Travailleurs</w:t>
            </w:r>
          </w:p>
        </w:tc>
        <w:tc>
          <w:tcPr>
            <w:tcW w:w="1134"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spacing w:before="120"/>
              <w:jc w:val="center"/>
              <w:rPr>
                <w:rFonts w:cs="Arial"/>
                <w:lang w:val="fr-FR"/>
              </w:rPr>
            </w:pPr>
            <w:r w:rsidRPr="00826136">
              <w:rPr>
                <w:rFonts w:cs="Arial"/>
                <w:lang w:val="fr-FR"/>
              </w:rPr>
              <w:t>Population</w:t>
            </w:r>
          </w:p>
        </w:tc>
      </w:tr>
      <w:tr w:rsidR="00C163D2" w:rsidRPr="007F1538" w:rsidTr="00493ECB">
        <w:tc>
          <w:tcPr>
            <w:tcW w:w="993" w:type="dxa"/>
            <w:tcBorders>
              <w:left w:val="single" w:sz="4" w:space="0" w:color="auto"/>
              <w:bottom w:val="single" w:sz="4" w:space="0" w:color="auto"/>
              <w:right w:val="double" w:sz="4" w:space="0" w:color="auto"/>
            </w:tcBorders>
            <w:vAlign w:val="center"/>
          </w:tcPr>
          <w:p w:rsidR="00C163D2" w:rsidRPr="007F1538" w:rsidRDefault="00826136" w:rsidP="00690B4E">
            <w:pPr>
              <w:spacing w:before="120"/>
              <w:jc w:val="center"/>
              <w:rPr>
                <w:rFonts w:cs="Arial"/>
                <w:lang w:val="fr-FR"/>
              </w:rPr>
            </w:pPr>
            <w:r w:rsidRPr="00826136">
              <w:rPr>
                <w:rFonts w:cs="Arial"/>
                <w:lang w:val="fr-FR"/>
              </w:rPr>
              <w:t>Ouvrier</w:t>
            </w:r>
          </w:p>
        </w:tc>
        <w:tc>
          <w:tcPr>
            <w:tcW w:w="992" w:type="dxa"/>
            <w:tcBorders>
              <w:left w:val="single" w:sz="4" w:space="0" w:color="auto"/>
              <w:bottom w:val="single" w:sz="4" w:space="0" w:color="auto"/>
              <w:right w:val="single" w:sz="4" w:space="0" w:color="auto"/>
            </w:tcBorders>
            <w:vAlign w:val="center"/>
          </w:tcPr>
          <w:p w:rsidR="00C163D2" w:rsidRPr="007F1538" w:rsidRDefault="00C163D2" w:rsidP="007366AA">
            <w:pPr>
              <w:spacing w:before="120"/>
              <w:jc w:val="center"/>
              <w:rPr>
                <w:rFonts w:cs="Arial"/>
                <w:lang w:val="fr-FR"/>
              </w:rPr>
            </w:pPr>
            <w:r w:rsidRPr="007F1538">
              <w:rPr>
                <w:rFonts w:cs="Arial"/>
                <w:lang w:val="fr-FR"/>
              </w:rPr>
              <w:t>8,5 %</w:t>
            </w:r>
          </w:p>
        </w:tc>
        <w:tc>
          <w:tcPr>
            <w:tcW w:w="992" w:type="dxa"/>
            <w:tcBorders>
              <w:left w:val="single" w:sz="4" w:space="0" w:color="auto"/>
              <w:bottom w:val="single" w:sz="4" w:space="0" w:color="auto"/>
              <w:right w:val="single" w:sz="4" w:space="0" w:color="auto"/>
            </w:tcBorders>
          </w:tcPr>
          <w:p w:rsidR="00C163D2" w:rsidRPr="007F1538" w:rsidRDefault="00C163D2" w:rsidP="007366AA">
            <w:pPr>
              <w:spacing w:before="120"/>
              <w:jc w:val="center"/>
              <w:rPr>
                <w:rFonts w:cs="Arial"/>
                <w:lang w:val="fr-FR"/>
              </w:rPr>
            </w:pPr>
            <w:r w:rsidRPr="007F1538">
              <w:rPr>
                <w:rFonts w:cs="Arial"/>
                <w:lang w:val="fr-FR"/>
              </w:rPr>
              <w:t>11,6 %</w:t>
            </w:r>
          </w:p>
        </w:tc>
        <w:tc>
          <w:tcPr>
            <w:tcW w:w="992" w:type="dxa"/>
            <w:tcBorders>
              <w:left w:val="single" w:sz="4" w:space="0" w:color="auto"/>
              <w:bottom w:val="single" w:sz="4" w:space="0" w:color="auto"/>
              <w:right w:val="single" w:sz="4" w:space="0" w:color="auto"/>
            </w:tcBorders>
          </w:tcPr>
          <w:p w:rsidR="00C163D2" w:rsidRPr="007F1538" w:rsidRDefault="00C163D2" w:rsidP="007366AA">
            <w:pPr>
              <w:spacing w:before="120"/>
              <w:jc w:val="center"/>
              <w:rPr>
                <w:rFonts w:cs="Arial"/>
                <w:lang w:val="fr-FR"/>
              </w:rPr>
            </w:pPr>
            <w:r w:rsidRPr="007F1538">
              <w:rPr>
                <w:rFonts w:cs="Arial"/>
                <w:lang w:val="fr-FR"/>
              </w:rPr>
              <w:t>11,3 %</w:t>
            </w:r>
          </w:p>
        </w:tc>
        <w:tc>
          <w:tcPr>
            <w:tcW w:w="993" w:type="dxa"/>
            <w:tcBorders>
              <w:left w:val="single" w:sz="4" w:space="0" w:color="auto"/>
              <w:bottom w:val="single" w:sz="4" w:space="0" w:color="auto"/>
              <w:right w:val="single" w:sz="4" w:space="0" w:color="auto"/>
            </w:tcBorders>
            <w:vAlign w:val="center"/>
          </w:tcPr>
          <w:p w:rsidR="00C163D2" w:rsidRPr="007F1538" w:rsidRDefault="00C163D2" w:rsidP="007366AA">
            <w:pPr>
              <w:spacing w:before="120"/>
              <w:jc w:val="center"/>
              <w:rPr>
                <w:rFonts w:cs="Arial"/>
                <w:lang w:val="fr-FR"/>
              </w:rPr>
            </w:pPr>
            <w:r w:rsidRPr="007F1538">
              <w:rPr>
                <w:rFonts w:cs="Arial"/>
                <w:lang w:val="fr-FR"/>
              </w:rPr>
              <w:t>13,3 %</w:t>
            </w:r>
          </w:p>
        </w:tc>
        <w:tc>
          <w:tcPr>
            <w:tcW w:w="992"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14,2%</w:t>
            </w:r>
          </w:p>
        </w:tc>
        <w:tc>
          <w:tcPr>
            <w:tcW w:w="992" w:type="dxa"/>
            <w:tcBorders>
              <w:left w:val="single" w:sz="4" w:space="0" w:color="auto"/>
              <w:bottom w:val="single" w:sz="4" w:space="0" w:color="auto"/>
              <w:right w:val="single" w:sz="4" w:space="0" w:color="auto"/>
            </w:tcBorders>
            <w:shd w:val="clear" w:color="auto" w:fill="auto"/>
          </w:tcPr>
          <w:p w:rsidR="00C163D2" w:rsidRPr="007F1538" w:rsidRDefault="00E212B4">
            <w:pPr>
              <w:spacing w:before="120"/>
              <w:jc w:val="center"/>
              <w:rPr>
                <w:rFonts w:cs="Arial"/>
                <w:lang w:val="fr-FR"/>
              </w:rPr>
            </w:pPr>
            <w:r w:rsidRPr="007F1538">
              <w:rPr>
                <w:rFonts w:cs="Arial"/>
                <w:lang w:val="fr-FR"/>
              </w:rPr>
              <w:t>17,0%</w:t>
            </w:r>
          </w:p>
        </w:tc>
        <w:tc>
          <w:tcPr>
            <w:tcW w:w="851" w:type="dxa"/>
            <w:tcBorders>
              <w:left w:val="single" w:sz="4" w:space="0" w:color="auto"/>
              <w:bottom w:val="single" w:sz="4" w:space="0" w:color="auto"/>
              <w:right w:val="single" w:sz="4" w:space="0" w:color="auto"/>
            </w:tcBorders>
            <w:shd w:val="clear" w:color="auto" w:fill="auto"/>
            <w:vAlign w:val="bottom"/>
          </w:tcPr>
          <w:p w:rsidR="00C163D2" w:rsidRPr="007F1538" w:rsidRDefault="00E212B4">
            <w:pPr>
              <w:jc w:val="center"/>
              <w:rPr>
                <w:rFonts w:cs="Arial"/>
                <w:lang w:val="fr-FR"/>
              </w:rPr>
            </w:pPr>
            <w:r w:rsidRPr="007F1538">
              <w:rPr>
                <w:rFonts w:cs="Arial"/>
                <w:lang w:val="fr-FR"/>
              </w:rPr>
              <w:t>10.067</w:t>
            </w:r>
          </w:p>
        </w:tc>
        <w:tc>
          <w:tcPr>
            <w:tcW w:w="1134"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59.050</w:t>
            </w:r>
          </w:p>
        </w:tc>
      </w:tr>
      <w:tr w:rsidR="00C163D2" w:rsidRPr="007F1538" w:rsidTr="00493ECB">
        <w:tc>
          <w:tcPr>
            <w:tcW w:w="993" w:type="dxa"/>
            <w:tcBorders>
              <w:left w:val="single" w:sz="4" w:space="0" w:color="auto"/>
              <w:bottom w:val="single" w:sz="4" w:space="0" w:color="auto"/>
              <w:right w:val="double" w:sz="4" w:space="0" w:color="auto"/>
            </w:tcBorders>
            <w:vAlign w:val="center"/>
          </w:tcPr>
          <w:p w:rsidR="00C163D2" w:rsidRPr="007F1538" w:rsidRDefault="00826136" w:rsidP="00690B4E">
            <w:pPr>
              <w:spacing w:before="120"/>
              <w:jc w:val="center"/>
              <w:rPr>
                <w:rFonts w:cs="Arial"/>
                <w:lang w:val="fr-FR"/>
              </w:rPr>
            </w:pPr>
            <w:r w:rsidRPr="00826136">
              <w:rPr>
                <w:rFonts w:cs="Arial"/>
                <w:lang w:val="fr-FR"/>
              </w:rPr>
              <w:t>Employé</w:t>
            </w:r>
          </w:p>
        </w:tc>
        <w:tc>
          <w:tcPr>
            <w:tcW w:w="992" w:type="dxa"/>
            <w:tcBorders>
              <w:left w:val="single" w:sz="4" w:space="0" w:color="auto"/>
              <w:bottom w:val="single" w:sz="4" w:space="0" w:color="auto"/>
              <w:right w:val="single" w:sz="4" w:space="0" w:color="auto"/>
            </w:tcBorders>
            <w:vAlign w:val="center"/>
          </w:tcPr>
          <w:p w:rsidR="00C163D2" w:rsidRPr="007F1538" w:rsidRDefault="00C163D2" w:rsidP="007366AA">
            <w:pPr>
              <w:spacing w:before="120"/>
              <w:jc w:val="center"/>
              <w:rPr>
                <w:rFonts w:cs="Arial"/>
                <w:lang w:val="fr-FR"/>
              </w:rPr>
            </w:pPr>
            <w:r w:rsidRPr="007F1538">
              <w:rPr>
                <w:rFonts w:cs="Arial"/>
                <w:lang w:val="fr-FR"/>
              </w:rPr>
              <w:t>13,1 %</w:t>
            </w:r>
          </w:p>
        </w:tc>
        <w:tc>
          <w:tcPr>
            <w:tcW w:w="992" w:type="dxa"/>
            <w:tcBorders>
              <w:left w:val="single" w:sz="4" w:space="0" w:color="auto"/>
              <w:bottom w:val="single" w:sz="4" w:space="0" w:color="auto"/>
              <w:right w:val="single" w:sz="4" w:space="0" w:color="auto"/>
            </w:tcBorders>
          </w:tcPr>
          <w:p w:rsidR="00C163D2" w:rsidRPr="007F1538" w:rsidRDefault="00C163D2" w:rsidP="007366AA">
            <w:pPr>
              <w:spacing w:before="120"/>
              <w:jc w:val="center"/>
              <w:rPr>
                <w:rFonts w:cs="Arial"/>
                <w:lang w:val="fr-FR"/>
              </w:rPr>
            </w:pPr>
            <w:r w:rsidRPr="007F1538">
              <w:rPr>
                <w:rFonts w:cs="Arial"/>
                <w:lang w:val="fr-FR"/>
              </w:rPr>
              <w:t>11,5 %</w:t>
            </w:r>
          </w:p>
        </w:tc>
        <w:tc>
          <w:tcPr>
            <w:tcW w:w="992" w:type="dxa"/>
            <w:tcBorders>
              <w:left w:val="single" w:sz="4" w:space="0" w:color="auto"/>
              <w:bottom w:val="single" w:sz="4" w:space="0" w:color="auto"/>
              <w:right w:val="single" w:sz="4" w:space="0" w:color="auto"/>
            </w:tcBorders>
          </w:tcPr>
          <w:p w:rsidR="00C163D2" w:rsidRPr="007F1538" w:rsidRDefault="00C163D2" w:rsidP="007366AA">
            <w:pPr>
              <w:spacing w:before="120"/>
              <w:jc w:val="center"/>
              <w:rPr>
                <w:rFonts w:cs="Arial"/>
                <w:lang w:val="fr-FR"/>
              </w:rPr>
            </w:pPr>
            <w:r w:rsidRPr="007F1538">
              <w:rPr>
                <w:rFonts w:cs="Arial"/>
                <w:lang w:val="fr-FR"/>
              </w:rPr>
              <w:t>13,1 %</w:t>
            </w:r>
          </w:p>
        </w:tc>
        <w:tc>
          <w:tcPr>
            <w:tcW w:w="993" w:type="dxa"/>
            <w:tcBorders>
              <w:left w:val="single" w:sz="4" w:space="0" w:color="auto"/>
              <w:bottom w:val="single" w:sz="4" w:space="0" w:color="auto"/>
              <w:right w:val="single" w:sz="4" w:space="0" w:color="auto"/>
            </w:tcBorders>
            <w:vAlign w:val="center"/>
          </w:tcPr>
          <w:p w:rsidR="00C163D2" w:rsidRPr="007F1538" w:rsidRDefault="00C163D2" w:rsidP="007366AA">
            <w:pPr>
              <w:spacing w:before="120"/>
              <w:jc w:val="center"/>
              <w:rPr>
                <w:rFonts w:cs="Arial"/>
                <w:lang w:val="fr-FR"/>
              </w:rPr>
            </w:pPr>
            <w:r w:rsidRPr="007F1538">
              <w:rPr>
                <w:rFonts w:cs="Arial"/>
                <w:lang w:val="fr-FR"/>
              </w:rPr>
              <w:t>14,3 %</w:t>
            </w:r>
          </w:p>
        </w:tc>
        <w:tc>
          <w:tcPr>
            <w:tcW w:w="992"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15,0%</w:t>
            </w:r>
          </w:p>
        </w:tc>
        <w:tc>
          <w:tcPr>
            <w:tcW w:w="992" w:type="dxa"/>
            <w:tcBorders>
              <w:left w:val="single" w:sz="4" w:space="0" w:color="auto"/>
              <w:bottom w:val="single" w:sz="4" w:space="0" w:color="auto"/>
              <w:right w:val="single" w:sz="4" w:space="0" w:color="auto"/>
            </w:tcBorders>
            <w:shd w:val="clear" w:color="auto" w:fill="auto"/>
          </w:tcPr>
          <w:p w:rsidR="00C163D2" w:rsidRPr="007F1538" w:rsidRDefault="00E212B4">
            <w:pPr>
              <w:spacing w:before="120"/>
              <w:jc w:val="center"/>
              <w:rPr>
                <w:rFonts w:cs="Arial"/>
                <w:lang w:val="fr-FR"/>
              </w:rPr>
            </w:pPr>
            <w:r w:rsidRPr="007F1538">
              <w:rPr>
                <w:rFonts w:cs="Arial"/>
                <w:lang w:val="fr-FR"/>
              </w:rPr>
              <w:t>18,0%</w:t>
            </w:r>
          </w:p>
        </w:tc>
        <w:tc>
          <w:tcPr>
            <w:tcW w:w="851" w:type="dxa"/>
            <w:tcBorders>
              <w:left w:val="single" w:sz="4" w:space="0" w:color="auto"/>
              <w:bottom w:val="single" w:sz="4" w:space="0" w:color="auto"/>
              <w:right w:val="single" w:sz="4" w:space="0" w:color="auto"/>
            </w:tcBorders>
            <w:shd w:val="clear" w:color="auto" w:fill="auto"/>
            <w:vAlign w:val="bottom"/>
          </w:tcPr>
          <w:p w:rsidR="00C163D2" w:rsidRPr="007F1538" w:rsidRDefault="00E212B4">
            <w:pPr>
              <w:jc w:val="center"/>
              <w:rPr>
                <w:rFonts w:cs="Arial"/>
                <w:lang w:val="fr-FR"/>
              </w:rPr>
            </w:pPr>
            <w:r w:rsidRPr="007F1538">
              <w:rPr>
                <w:rFonts w:cs="Arial"/>
                <w:lang w:val="fr-FR"/>
              </w:rPr>
              <w:t>5.237</w:t>
            </w:r>
          </w:p>
        </w:tc>
        <w:tc>
          <w:tcPr>
            <w:tcW w:w="1134"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29.664</w:t>
            </w:r>
          </w:p>
        </w:tc>
      </w:tr>
      <w:tr w:rsidR="00C163D2" w:rsidRPr="007F1538" w:rsidTr="00493ECB">
        <w:tc>
          <w:tcPr>
            <w:tcW w:w="993" w:type="dxa"/>
            <w:tcBorders>
              <w:top w:val="single" w:sz="4" w:space="0" w:color="auto"/>
              <w:left w:val="single" w:sz="4" w:space="0" w:color="auto"/>
              <w:bottom w:val="single" w:sz="4" w:space="0" w:color="auto"/>
              <w:right w:val="double" w:sz="4" w:space="0" w:color="auto"/>
            </w:tcBorders>
            <w:vAlign w:val="center"/>
          </w:tcPr>
          <w:p w:rsidR="00C163D2" w:rsidRPr="007F1538" w:rsidRDefault="00826136" w:rsidP="00690B4E">
            <w:pPr>
              <w:spacing w:before="120"/>
              <w:jc w:val="center"/>
              <w:rPr>
                <w:rFonts w:cs="Arial"/>
                <w:i/>
                <w:lang w:val="fr-FR"/>
              </w:rPr>
            </w:pPr>
            <w:r w:rsidRPr="00826136">
              <w:rPr>
                <w:rFonts w:cs="Arial"/>
                <w:i/>
                <w:lang w:val="fr-FR"/>
              </w:rPr>
              <w:t>Total</w:t>
            </w:r>
          </w:p>
        </w:tc>
        <w:tc>
          <w:tcPr>
            <w:tcW w:w="992" w:type="dxa"/>
            <w:tcBorders>
              <w:top w:val="single" w:sz="4" w:space="0" w:color="auto"/>
              <w:left w:val="single" w:sz="4" w:space="0" w:color="auto"/>
              <w:bottom w:val="single" w:sz="4" w:space="0" w:color="auto"/>
              <w:right w:val="single" w:sz="4" w:space="0" w:color="auto"/>
            </w:tcBorders>
            <w:vAlign w:val="bottom"/>
          </w:tcPr>
          <w:p w:rsidR="00C163D2" w:rsidRPr="007F1538" w:rsidRDefault="00C163D2" w:rsidP="007366AA">
            <w:pPr>
              <w:spacing w:before="120"/>
              <w:jc w:val="center"/>
              <w:rPr>
                <w:rFonts w:cs="Arial"/>
                <w:i/>
                <w:lang w:val="fr-FR"/>
              </w:rPr>
            </w:pPr>
            <w:r w:rsidRPr="007F1538">
              <w:rPr>
                <w:rFonts w:cs="Arial"/>
                <w:i/>
                <w:lang w:val="fr-FR"/>
              </w:rPr>
              <w:t>9,7 %</w:t>
            </w:r>
          </w:p>
        </w:tc>
        <w:tc>
          <w:tcPr>
            <w:tcW w:w="992" w:type="dxa"/>
            <w:tcBorders>
              <w:top w:val="single" w:sz="4" w:space="0" w:color="auto"/>
              <w:left w:val="single" w:sz="4" w:space="0" w:color="auto"/>
              <w:bottom w:val="single" w:sz="4" w:space="0" w:color="auto"/>
              <w:right w:val="single" w:sz="4" w:space="0" w:color="auto"/>
            </w:tcBorders>
            <w:vAlign w:val="bottom"/>
          </w:tcPr>
          <w:p w:rsidR="00C163D2" w:rsidRPr="007F1538" w:rsidRDefault="00C163D2" w:rsidP="007366AA">
            <w:pPr>
              <w:spacing w:before="120"/>
              <w:jc w:val="center"/>
              <w:rPr>
                <w:rFonts w:cs="Arial"/>
                <w:i/>
                <w:lang w:val="fr-FR"/>
              </w:rPr>
            </w:pPr>
            <w:r w:rsidRPr="007F1538">
              <w:rPr>
                <w:rFonts w:cs="Arial"/>
                <w:i/>
                <w:lang w:val="fr-FR"/>
              </w:rPr>
              <w:t>11,2 %</w:t>
            </w:r>
          </w:p>
        </w:tc>
        <w:tc>
          <w:tcPr>
            <w:tcW w:w="992" w:type="dxa"/>
            <w:tcBorders>
              <w:top w:val="single" w:sz="4" w:space="0" w:color="auto"/>
              <w:left w:val="single" w:sz="4" w:space="0" w:color="auto"/>
              <w:bottom w:val="single" w:sz="4" w:space="0" w:color="auto"/>
              <w:right w:val="single" w:sz="4" w:space="0" w:color="auto"/>
            </w:tcBorders>
          </w:tcPr>
          <w:p w:rsidR="00C163D2" w:rsidRPr="007F1538" w:rsidRDefault="00C163D2" w:rsidP="007366AA">
            <w:pPr>
              <w:spacing w:before="120"/>
              <w:jc w:val="center"/>
              <w:rPr>
                <w:rFonts w:cs="Arial"/>
                <w:i/>
                <w:iCs/>
                <w:lang w:val="fr-FR"/>
              </w:rPr>
            </w:pPr>
            <w:r w:rsidRPr="007F1538">
              <w:rPr>
                <w:rFonts w:cs="Arial"/>
                <w:i/>
                <w:iCs/>
                <w:lang w:val="fr-FR"/>
              </w:rPr>
              <w:t>11,9 %</w:t>
            </w:r>
          </w:p>
        </w:tc>
        <w:tc>
          <w:tcPr>
            <w:tcW w:w="993" w:type="dxa"/>
            <w:tcBorders>
              <w:top w:val="single" w:sz="4" w:space="0" w:color="auto"/>
              <w:left w:val="single" w:sz="4" w:space="0" w:color="auto"/>
              <w:bottom w:val="single" w:sz="4" w:space="0" w:color="auto"/>
              <w:right w:val="single" w:sz="4" w:space="0" w:color="auto"/>
            </w:tcBorders>
            <w:vAlign w:val="center"/>
          </w:tcPr>
          <w:p w:rsidR="00C163D2" w:rsidRPr="007F1538" w:rsidRDefault="00C163D2" w:rsidP="007366AA">
            <w:pPr>
              <w:spacing w:before="120"/>
              <w:jc w:val="center"/>
              <w:rPr>
                <w:rFonts w:cs="Arial"/>
                <w:i/>
                <w:lang w:val="fr-FR"/>
              </w:rPr>
            </w:pPr>
            <w:r w:rsidRPr="007F1538">
              <w:rPr>
                <w:rFonts w:cs="Arial"/>
                <w:i/>
                <w:lang w:val="fr-FR"/>
              </w:rPr>
              <w:t>13,6 %</w:t>
            </w:r>
          </w:p>
        </w:tc>
        <w:tc>
          <w:tcPr>
            <w:tcW w:w="992" w:type="dxa"/>
            <w:tcBorders>
              <w:top w:val="single" w:sz="4" w:space="0" w:color="auto"/>
              <w:left w:val="single" w:sz="4" w:space="0" w:color="auto"/>
              <w:bottom w:val="single" w:sz="4" w:space="0" w:color="auto"/>
              <w:right w:val="single" w:sz="4" w:space="0" w:color="auto"/>
            </w:tcBorders>
            <w:vAlign w:val="bottom"/>
          </w:tcPr>
          <w:p w:rsidR="00C163D2" w:rsidRPr="007F1538" w:rsidRDefault="00EB3B11">
            <w:pPr>
              <w:jc w:val="center"/>
              <w:rPr>
                <w:rFonts w:cs="Arial"/>
                <w:i/>
                <w:lang w:val="fr-FR"/>
              </w:rPr>
            </w:pPr>
            <w:r w:rsidRPr="007F1538">
              <w:rPr>
                <w:rFonts w:cs="Arial"/>
                <w:i/>
                <w:lang w:val="fr-FR"/>
              </w:rPr>
              <w:t>14,5</w:t>
            </w:r>
            <w:r w:rsidR="00C163D2" w:rsidRPr="007F1538">
              <w:rPr>
                <w:rFonts w:cs="Arial"/>
                <w:i/>
                <w:lang w:val="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63D2" w:rsidRPr="007F1538" w:rsidRDefault="00E212B4">
            <w:pPr>
              <w:spacing w:before="120"/>
              <w:jc w:val="center"/>
              <w:rPr>
                <w:rFonts w:cs="Arial"/>
                <w:i/>
                <w:iCs/>
                <w:lang w:val="fr-FR"/>
              </w:rPr>
            </w:pPr>
            <w:r w:rsidRPr="007F1538">
              <w:rPr>
                <w:rFonts w:cs="Arial"/>
                <w:i/>
                <w:iCs/>
                <w:lang w:val="fr-FR"/>
              </w:rPr>
              <w:t>17,4%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C163D2" w:rsidRPr="007F1538" w:rsidRDefault="00E212B4">
            <w:pPr>
              <w:jc w:val="center"/>
              <w:rPr>
                <w:rFonts w:cs="Arial"/>
                <w:i/>
                <w:lang w:val="fr-FR"/>
              </w:rPr>
            </w:pPr>
            <w:r w:rsidRPr="007F1538">
              <w:rPr>
                <w:rFonts w:cs="Arial"/>
                <w:i/>
                <w:lang w:val="fr-FR"/>
              </w:rPr>
              <w:t>15.394</w:t>
            </w:r>
          </w:p>
        </w:tc>
        <w:tc>
          <w:tcPr>
            <w:tcW w:w="1134" w:type="dxa"/>
            <w:tcBorders>
              <w:top w:val="single" w:sz="4" w:space="0" w:color="auto"/>
              <w:left w:val="single" w:sz="4" w:space="0" w:color="auto"/>
              <w:bottom w:val="single" w:sz="4" w:space="0" w:color="auto"/>
              <w:right w:val="single" w:sz="4" w:space="0" w:color="auto"/>
            </w:tcBorders>
            <w:vAlign w:val="bottom"/>
          </w:tcPr>
          <w:p w:rsidR="00C163D2" w:rsidRPr="007F1538" w:rsidRDefault="00C163D2">
            <w:pPr>
              <w:jc w:val="center"/>
              <w:rPr>
                <w:rFonts w:cs="Arial"/>
                <w:i/>
                <w:lang w:val="fr-FR"/>
              </w:rPr>
            </w:pPr>
            <w:r w:rsidRPr="007F1538">
              <w:rPr>
                <w:rFonts w:cs="Arial"/>
                <w:i/>
                <w:lang w:val="fr-FR"/>
              </w:rPr>
              <w:t>88.714</w:t>
            </w:r>
          </w:p>
        </w:tc>
      </w:tr>
    </w:tbl>
    <w:p w:rsidR="00A73AD2" w:rsidRPr="007F1538" w:rsidRDefault="00A73AD2">
      <w:pPr>
        <w:pStyle w:val="Header"/>
        <w:tabs>
          <w:tab w:val="clear" w:pos="4536"/>
          <w:tab w:val="clear" w:pos="9072"/>
        </w:tabs>
        <w:rPr>
          <w:rFonts w:cs="Arial"/>
          <w:sz w:val="20"/>
          <w:szCs w:val="20"/>
          <w:lang w:val="fr-FR"/>
        </w:rPr>
      </w:pPr>
    </w:p>
    <w:p w:rsidR="00A73AD2" w:rsidRPr="007F1538" w:rsidRDefault="00826136">
      <w:pPr>
        <w:pStyle w:val="Header"/>
        <w:tabs>
          <w:tab w:val="clear" w:pos="4536"/>
          <w:tab w:val="clear" w:pos="9072"/>
        </w:tabs>
        <w:rPr>
          <w:rFonts w:cs="Arial"/>
          <w:sz w:val="20"/>
          <w:szCs w:val="20"/>
          <w:lang w:val="fr-FR"/>
        </w:rPr>
      </w:pPr>
      <w:r w:rsidRPr="00826136">
        <w:rPr>
          <w:rFonts w:cs="Arial"/>
          <w:sz w:val="20"/>
          <w:szCs w:val="20"/>
          <w:lang w:val="fr-FR"/>
        </w:rPr>
        <w:t>La couverture des formations IFP a augmenté tant chez les hommes que chez les femmes, mais on note encore une différence.</w:t>
      </w:r>
      <w:r w:rsidR="00B67161">
        <w:rPr>
          <w:rFonts w:cs="Arial"/>
          <w:sz w:val="20"/>
          <w:szCs w:val="20"/>
          <w:lang w:val="fr-FR"/>
        </w:rPr>
        <w:t xml:space="preserve"> </w:t>
      </w:r>
      <w:r w:rsidRPr="00826136">
        <w:rPr>
          <w:rFonts w:cs="Arial"/>
          <w:sz w:val="20"/>
          <w:szCs w:val="20"/>
          <w:lang w:val="fr-FR"/>
        </w:rPr>
        <w:t>Les hommes dans le secteur restent plus faciles à atteindre que les femmes.</w:t>
      </w:r>
      <w:r w:rsidR="002E0B5E" w:rsidRPr="007F1538">
        <w:rPr>
          <w:rFonts w:cs="Arial"/>
          <w:sz w:val="20"/>
          <w:szCs w:val="20"/>
          <w:lang w:val="fr-FR"/>
        </w:rPr>
        <w:t xml:space="preserve"> </w:t>
      </w:r>
      <w:r w:rsidRPr="00826136">
        <w:rPr>
          <w:rFonts w:cs="Arial"/>
          <w:sz w:val="20"/>
          <w:szCs w:val="20"/>
          <w:lang w:val="fr-FR"/>
        </w:rPr>
        <w:t>En 2009, l’IFP a atteint 13,4% des femmes et 19,4% des hommes.</w:t>
      </w:r>
      <w:r w:rsidR="00A73AD2" w:rsidRPr="007F1538">
        <w:rPr>
          <w:rFonts w:cs="Arial"/>
          <w:sz w:val="20"/>
          <w:szCs w:val="20"/>
          <w:lang w:val="fr-FR"/>
        </w:rPr>
        <w:t xml:space="preserve"> </w:t>
      </w:r>
    </w:p>
    <w:p w:rsidR="00A73AD2" w:rsidRPr="007F1538" w:rsidRDefault="00A73AD2">
      <w:pPr>
        <w:pStyle w:val="Header"/>
        <w:tabs>
          <w:tab w:val="clear" w:pos="4536"/>
          <w:tab w:val="clear" w:pos="9072"/>
        </w:tabs>
        <w:rPr>
          <w:rFonts w:cs="Arial"/>
          <w:sz w:val="20"/>
          <w:szCs w:val="20"/>
          <w:lang w:val="fr-FR"/>
        </w:rPr>
      </w:pPr>
    </w:p>
    <w:p w:rsidR="00A73AD2" w:rsidRPr="007F1538" w:rsidRDefault="007A50E0" w:rsidP="00826136">
      <w:pPr>
        <w:pStyle w:val="Header"/>
        <w:tabs>
          <w:tab w:val="clear" w:pos="4536"/>
          <w:tab w:val="clear" w:pos="9072"/>
        </w:tabs>
        <w:spacing w:after="120"/>
        <w:rPr>
          <w:rFonts w:cs="Arial"/>
          <w:sz w:val="20"/>
          <w:szCs w:val="20"/>
          <w:lang w:val="fr-FR"/>
        </w:rPr>
      </w:pPr>
      <w:r>
        <w:rPr>
          <w:rFonts w:cs="Arial"/>
          <w:sz w:val="20"/>
          <w:szCs w:val="20"/>
          <w:lang w:val="fr-FR"/>
        </w:rPr>
        <w:t>Tableau 17</w:t>
      </w:r>
      <w:r w:rsidR="00826136" w:rsidRPr="00826136">
        <w:rPr>
          <w:rFonts w:cs="Arial"/>
          <w:sz w:val="20"/>
          <w:szCs w:val="20"/>
          <w:lang w:val="fr-FR"/>
        </w:rPr>
        <w:t> : couverture travailleurs en fonction du genre, en % du nombre de travailleurs</w:t>
      </w:r>
    </w:p>
    <w:tbl>
      <w:tblPr>
        <w:tblW w:w="893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992"/>
        <w:gridCol w:w="992"/>
        <w:gridCol w:w="993"/>
        <w:gridCol w:w="992"/>
        <w:gridCol w:w="992"/>
        <w:gridCol w:w="851"/>
        <w:gridCol w:w="1134"/>
      </w:tblGrid>
      <w:tr w:rsidR="00FE4545" w:rsidRPr="007F1538" w:rsidTr="002E0B5E">
        <w:tc>
          <w:tcPr>
            <w:tcW w:w="993" w:type="dxa"/>
            <w:tcBorders>
              <w:top w:val="single" w:sz="4" w:space="0" w:color="auto"/>
              <w:left w:val="single" w:sz="4" w:space="0" w:color="auto"/>
              <w:bottom w:val="double" w:sz="4" w:space="0" w:color="auto"/>
              <w:right w:val="doub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826136">
              <w:rPr>
                <w:rFonts w:cs="Arial"/>
                <w:sz w:val="20"/>
                <w:szCs w:val="20"/>
                <w:lang w:val="fr-FR" w:eastAsia="nl-NL"/>
              </w:rPr>
              <w:t>Genre</w:t>
            </w:r>
          </w:p>
        </w:tc>
        <w:tc>
          <w:tcPr>
            <w:tcW w:w="992"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583EE9">
              <w:rPr>
                <w:rFonts w:cs="Arial"/>
                <w:sz w:val="20"/>
                <w:szCs w:val="20"/>
                <w:lang w:val="fr-FR" w:eastAsia="nl-NL"/>
              </w:rPr>
              <w:t>2004</w:t>
            </w:r>
          </w:p>
        </w:tc>
        <w:tc>
          <w:tcPr>
            <w:tcW w:w="992" w:type="dxa"/>
            <w:tcBorders>
              <w:top w:val="single" w:sz="4" w:space="0" w:color="auto"/>
              <w:left w:val="single" w:sz="4" w:space="0" w:color="auto"/>
              <w:bottom w:val="double" w:sz="4" w:space="0" w:color="auto"/>
              <w:right w:val="single" w:sz="4" w:space="0" w:color="auto"/>
            </w:tcBorders>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583EE9">
              <w:rPr>
                <w:rFonts w:cs="Arial"/>
                <w:sz w:val="20"/>
                <w:szCs w:val="20"/>
                <w:lang w:val="fr-FR" w:eastAsia="nl-NL"/>
              </w:rPr>
              <w:t>2005</w:t>
            </w:r>
          </w:p>
        </w:tc>
        <w:tc>
          <w:tcPr>
            <w:tcW w:w="992" w:type="dxa"/>
            <w:tcBorders>
              <w:top w:val="single" w:sz="4" w:space="0" w:color="auto"/>
              <w:left w:val="single" w:sz="4" w:space="0" w:color="auto"/>
              <w:bottom w:val="double" w:sz="4" w:space="0" w:color="auto"/>
              <w:right w:val="single" w:sz="4" w:space="0" w:color="auto"/>
            </w:tcBorders>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583EE9">
              <w:rPr>
                <w:rFonts w:cs="Arial"/>
                <w:sz w:val="20"/>
                <w:szCs w:val="20"/>
                <w:lang w:val="fr-FR"/>
              </w:rPr>
              <w:t>2006</w:t>
            </w:r>
          </w:p>
        </w:tc>
        <w:tc>
          <w:tcPr>
            <w:tcW w:w="993"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583EE9">
              <w:rPr>
                <w:rFonts w:cs="Arial"/>
                <w:sz w:val="20"/>
                <w:szCs w:val="20"/>
                <w:lang w:val="fr-FR" w:eastAsia="nl-NL"/>
              </w:rPr>
              <w:t>2007</w:t>
            </w:r>
          </w:p>
        </w:tc>
        <w:tc>
          <w:tcPr>
            <w:tcW w:w="992"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583EE9">
              <w:rPr>
                <w:rFonts w:cs="Arial"/>
                <w:sz w:val="20"/>
                <w:szCs w:val="20"/>
                <w:lang w:val="fr-FR" w:eastAsia="nl-NL"/>
              </w:rPr>
              <w:t>2008</w:t>
            </w:r>
          </w:p>
        </w:tc>
        <w:tc>
          <w:tcPr>
            <w:tcW w:w="992" w:type="dxa"/>
            <w:tcBorders>
              <w:top w:val="single" w:sz="4" w:space="0" w:color="auto"/>
              <w:left w:val="single" w:sz="4" w:space="0" w:color="auto"/>
              <w:bottom w:val="double" w:sz="4" w:space="0" w:color="auto"/>
              <w:right w:val="single" w:sz="4" w:space="0" w:color="auto"/>
            </w:tcBorders>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583EE9">
              <w:rPr>
                <w:rFonts w:cs="Arial"/>
                <w:sz w:val="20"/>
                <w:szCs w:val="20"/>
                <w:lang w:val="fr-FR" w:eastAsia="nl-NL"/>
              </w:rPr>
              <w:t>2009</w:t>
            </w:r>
          </w:p>
        </w:tc>
        <w:tc>
          <w:tcPr>
            <w:tcW w:w="851"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826136">
              <w:rPr>
                <w:rFonts w:cs="Arial"/>
                <w:sz w:val="20"/>
                <w:szCs w:val="20"/>
                <w:lang w:val="fr-FR" w:eastAsia="nl-NL"/>
              </w:rPr>
              <w:t>Travailleurs</w:t>
            </w:r>
          </w:p>
        </w:tc>
        <w:tc>
          <w:tcPr>
            <w:tcW w:w="1134" w:type="dxa"/>
            <w:tcBorders>
              <w:top w:val="single" w:sz="4" w:space="0" w:color="auto"/>
              <w:left w:val="single" w:sz="4" w:space="0" w:color="auto"/>
              <w:bottom w:val="double" w:sz="4" w:space="0" w:color="auto"/>
              <w:right w:val="single" w:sz="4" w:space="0" w:color="auto"/>
            </w:tcBorders>
            <w:vAlign w:val="center"/>
          </w:tcPr>
          <w:p w:rsidR="00FE4545" w:rsidRPr="007F1538" w:rsidRDefault="00826136" w:rsidP="00690B4E">
            <w:pPr>
              <w:pStyle w:val="Header"/>
              <w:tabs>
                <w:tab w:val="clear" w:pos="4536"/>
                <w:tab w:val="clear" w:pos="9072"/>
              </w:tabs>
              <w:spacing w:before="120"/>
              <w:jc w:val="center"/>
              <w:rPr>
                <w:rFonts w:cs="Arial"/>
                <w:sz w:val="20"/>
                <w:szCs w:val="20"/>
                <w:lang w:val="fr-FR" w:eastAsia="nl-NL"/>
              </w:rPr>
            </w:pPr>
            <w:r w:rsidRPr="00826136">
              <w:rPr>
                <w:rFonts w:cs="Arial"/>
                <w:sz w:val="20"/>
                <w:szCs w:val="20"/>
                <w:lang w:val="fr-FR" w:eastAsia="nl-NL"/>
              </w:rPr>
              <w:t>Population</w:t>
            </w:r>
          </w:p>
        </w:tc>
      </w:tr>
      <w:tr w:rsidR="00C163D2" w:rsidRPr="007F1538" w:rsidTr="002E0B5E">
        <w:tc>
          <w:tcPr>
            <w:tcW w:w="993" w:type="dxa"/>
            <w:tcBorders>
              <w:left w:val="single" w:sz="4" w:space="0" w:color="auto"/>
              <w:bottom w:val="single" w:sz="4" w:space="0" w:color="auto"/>
              <w:right w:val="double" w:sz="4" w:space="0" w:color="auto"/>
            </w:tcBorders>
            <w:vAlign w:val="center"/>
          </w:tcPr>
          <w:p w:rsidR="00C163D2" w:rsidRPr="007F1538" w:rsidRDefault="00826136" w:rsidP="00690B4E">
            <w:pPr>
              <w:pStyle w:val="Header"/>
              <w:tabs>
                <w:tab w:val="clear" w:pos="4536"/>
                <w:tab w:val="clear" w:pos="9072"/>
              </w:tabs>
              <w:spacing w:before="120"/>
              <w:jc w:val="center"/>
              <w:rPr>
                <w:rFonts w:cs="Arial"/>
                <w:sz w:val="20"/>
                <w:szCs w:val="20"/>
                <w:lang w:val="fr-FR" w:eastAsia="nl-NL"/>
              </w:rPr>
            </w:pPr>
            <w:r w:rsidRPr="00826136">
              <w:rPr>
                <w:rFonts w:cs="Arial"/>
                <w:sz w:val="20"/>
                <w:szCs w:val="20"/>
                <w:lang w:val="fr-FR" w:eastAsia="nl-NL"/>
              </w:rPr>
              <w:t>Femme</w:t>
            </w:r>
          </w:p>
        </w:tc>
        <w:tc>
          <w:tcPr>
            <w:tcW w:w="992" w:type="dxa"/>
            <w:tcBorders>
              <w:left w:val="single" w:sz="4" w:space="0" w:color="auto"/>
              <w:bottom w:val="single" w:sz="4" w:space="0" w:color="auto"/>
              <w:right w:val="single" w:sz="4" w:space="0" w:color="auto"/>
            </w:tcBorders>
            <w:vAlign w:val="center"/>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7,4 %</w:t>
            </w:r>
          </w:p>
        </w:tc>
        <w:tc>
          <w:tcPr>
            <w:tcW w:w="992" w:type="dxa"/>
            <w:tcBorders>
              <w:left w:val="single" w:sz="4" w:space="0" w:color="auto"/>
              <w:bottom w:val="single" w:sz="4" w:space="0" w:color="auto"/>
              <w:right w:val="single" w:sz="4" w:space="0" w:color="auto"/>
            </w:tcBorders>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8,2 %</w:t>
            </w:r>
          </w:p>
        </w:tc>
        <w:tc>
          <w:tcPr>
            <w:tcW w:w="992" w:type="dxa"/>
            <w:tcBorders>
              <w:left w:val="single" w:sz="4" w:space="0" w:color="auto"/>
              <w:bottom w:val="single" w:sz="4" w:space="0" w:color="auto"/>
              <w:right w:val="single" w:sz="4" w:space="0" w:color="auto"/>
            </w:tcBorders>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8,9 %</w:t>
            </w:r>
          </w:p>
        </w:tc>
        <w:tc>
          <w:tcPr>
            <w:tcW w:w="993" w:type="dxa"/>
            <w:tcBorders>
              <w:left w:val="single" w:sz="4" w:space="0" w:color="auto"/>
              <w:bottom w:val="single" w:sz="4" w:space="0" w:color="auto"/>
              <w:right w:val="single" w:sz="4" w:space="0" w:color="auto"/>
            </w:tcBorders>
            <w:vAlign w:val="center"/>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10,0 %</w:t>
            </w:r>
          </w:p>
        </w:tc>
        <w:tc>
          <w:tcPr>
            <w:tcW w:w="992"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10,4%</w:t>
            </w:r>
          </w:p>
        </w:tc>
        <w:tc>
          <w:tcPr>
            <w:tcW w:w="992" w:type="dxa"/>
            <w:tcBorders>
              <w:left w:val="single" w:sz="4" w:space="0" w:color="auto"/>
              <w:bottom w:val="single" w:sz="4" w:space="0" w:color="auto"/>
              <w:right w:val="single" w:sz="4" w:space="0" w:color="auto"/>
            </w:tcBorders>
            <w:shd w:val="clear" w:color="auto" w:fill="auto"/>
          </w:tcPr>
          <w:p w:rsidR="00C163D2" w:rsidRPr="007F1538" w:rsidRDefault="002E0B5E" w:rsidP="008C78A5">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13,4%</w:t>
            </w:r>
          </w:p>
        </w:tc>
        <w:tc>
          <w:tcPr>
            <w:tcW w:w="851" w:type="dxa"/>
            <w:tcBorders>
              <w:left w:val="single" w:sz="4" w:space="0" w:color="auto"/>
              <w:bottom w:val="single" w:sz="4" w:space="0" w:color="auto"/>
              <w:right w:val="single" w:sz="4" w:space="0" w:color="auto"/>
            </w:tcBorders>
            <w:shd w:val="clear" w:color="auto" w:fill="auto"/>
            <w:vAlign w:val="bottom"/>
          </w:tcPr>
          <w:p w:rsidR="00C163D2" w:rsidRPr="007F1538" w:rsidRDefault="002E0B5E">
            <w:pPr>
              <w:jc w:val="center"/>
              <w:rPr>
                <w:rFonts w:cs="Arial"/>
                <w:lang w:val="fr-FR"/>
              </w:rPr>
            </w:pPr>
            <w:r w:rsidRPr="007F1538">
              <w:rPr>
                <w:rFonts w:cs="Arial"/>
                <w:lang w:val="fr-FR"/>
              </w:rPr>
              <w:t>4.334</w:t>
            </w:r>
          </w:p>
        </w:tc>
        <w:tc>
          <w:tcPr>
            <w:tcW w:w="1134"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32.458</w:t>
            </w:r>
          </w:p>
        </w:tc>
      </w:tr>
      <w:tr w:rsidR="00C163D2" w:rsidRPr="007F1538" w:rsidTr="002E0B5E">
        <w:tc>
          <w:tcPr>
            <w:tcW w:w="993" w:type="dxa"/>
            <w:tcBorders>
              <w:left w:val="single" w:sz="4" w:space="0" w:color="auto"/>
              <w:bottom w:val="single" w:sz="4" w:space="0" w:color="auto"/>
              <w:right w:val="double" w:sz="4" w:space="0" w:color="auto"/>
            </w:tcBorders>
            <w:vAlign w:val="center"/>
          </w:tcPr>
          <w:p w:rsidR="00C163D2" w:rsidRPr="007F1538" w:rsidRDefault="00826136" w:rsidP="00690B4E">
            <w:pPr>
              <w:pStyle w:val="Header"/>
              <w:tabs>
                <w:tab w:val="clear" w:pos="4536"/>
                <w:tab w:val="clear" w:pos="9072"/>
              </w:tabs>
              <w:spacing w:before="120"/>
              <w:jc w:val="center"/>
              <w:rPr>
                <w:rFonts w:cs="Arial"/>
                <w:sz w:val="20"/>
                <w:szCs w:val="20"/>
                <w:lang w:val="fr-FR" w:eastAsia="nl-NL"/>
              </w:rPr>
            </w:pPr>
            <w:r w:rsidRPr="00826136">
              <w:rPr>
                <w:rFonts w:cs="Arial"/>
                <w:sz w:val="20"/>
                <w:szCs w:val="20"/>
                <w:lang w:val="fr-FR" w:eastAsia="nl-NL"/>
              </w:rPr>
              <w:t>Homme</w:t>
            </w:r>
          </w:p>
        </w:tc>
        <w:tc>
          <w:tcPr>
            <w:tcW w:w="992" w:type="dxa"/>
            <w:tcBorders>
              <w:left w:val="single" w:sz="4" w:space="0" w:color="auto"/>
              <w:bottom w:val="single" w:sz="4" w:space="0" w:color="auto"/>
              <w:right w:val="single" w:sz="4" w:space="0" w:color="auto"/>
            </w:tcBorders>
            <w:vAlign w:val="center"/>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11,4 %</w:t>
            </w:r>
          </w:p>
        </w:tc>
        <w:tc>
          <w:tcPr>
            <w:tcW w:w="992" w:type="dxa"/>
            <w:tcBorders>
              <w:left w:val="single" w:sz="4" w:space="0" w:color="auto"/>
              <w:bottom w:val="single" w:sz="4" w:space="0" w:color="auto"/>
              <w:right w:val="single" w:sz="4" w:space="0" w:color="auto"/>
            </w:tcBorders>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13,4 %</w:t>
            </w:r>
          </w:p>
        </w:tc>
        <w:tc>
          <w:tcPr>
            <w:tcW w:w="992" w:type="dxa"/>
            <w:tcBorders>
              <w:left w:val="single" w:sz="4" w:space="0" w:color="auto"/>
              <w:bottom w:val="single" w:sz="4" w:space="0" w:color="auto"/>
              <w:right w:val="single" w:sz="4" w:space="0" w:color="auto"/>
            </w:tcBorders>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13,6 %</w:t>
            </w:r>
          </w:p>
        </w:tc>
        <w:tc>
          <w:tcPr>
            <w:tcW w:w="993" w:type="dxa"/>
            <w:tcBorders>
              <w:left w:val="single" w:sz="4" w:space="0" w:color="auto"/>
              <w:bottom w:val="single" w:sz="4" w:space="0" w:color="auto"/>
              <w:right w:val="single" w:sz="4" w:space="0" w:color="auto"/>
            </w:tcBorders>
            <w:vAlign w:val="center"/>
          </w:tcPr>
          <w:p w:rsidR="00C163D2" w:rsidRPr="007F1538" w:rsidRDefault="00C163D2" w:rsidP="007366AA">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15,7 %</w:t>
            </w:r>
          </w:p>
        </w:tc>
        <w:tc>
          <w:tcPr>
            <w:tcW w:w="992"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16,8%</w:t>
            </w:r>
          </w:p>
        </w:tc>
        <w:tc>
          <w:tcPr>
            <w:tcW w:w="992" w:type="dxa"/>
            <w:tcBorders>
              <w:left w:val="single" w:sz="4" w:space="0" w:color="auto"/>
              <w:bottom w:val="single" w:sz="4" w:space="0" w:color="auto"/>
              <w:right w:val="single" w:sz="4" w:space="0" w:color="auto"/>
            </w:tcBorders>
            <w:shd w:val="clear" w:color="auto" w:fill="auto"/>
          </w:tcPr>
          <w:p w:rsidR="00C163D2" w:rsidRPr="007F1538" w:rsidRDefault="002E0B5E" w:rsidP="008C78A5">
            <w:pPr>
              <w:pStyle w:val="Header"/>
              <w:tabs>
                <w:tab w:val="clear" w:pos="4536"/>
                <w:tab w:val="clear" w:pos="9072"/>
              </w:tabs>
              <w:spacing w:before="120"/>
              <w:jc w:val="center"/>
              <w:rPr>
                <w:rFonts w:cs="Arial"/>
                <w:sz w:val="20"/>
                <w:szCs w:val="20"/>
                <w:lang w:val="fr-FR" w:eastAsia="nl-NL"/>
              </w:rPr>
            </w:pPr>
            <w:r w:rsidRPr="007F1538">
              <w:rPr>
                <w:rFonts w:cs="Arial"/>
                <w:sz w:val="20"/>
                <w:szCs w:val="20"/>
                <w:lang w:val="fr-FR" w:eastAsia="nl-NL"/>
              </w:rPr>
              <w:t>19,4%</w:t>
            </w:r>
          </w:p>
        </w:tc>
        <w:tc>
          <w:tcPr>
            <w:tcW w:w="851" w:type="dxa"/>
            <w:tcBorders>
              <w:left w:val="single" w:sz="4" w:space="0" w:color="auto"/>
              <w:bottom w:val="single" w:sz="4" w:space="0" w:color="auto"/>
              <w:right w:val="single" w:sz="4" w:space="0" w:color="auto"/>
            </w:tcBorders>
            <w:shd w:val="clear" w:color="auto" w:fill="auto"/>
            <w:vAlign w:val="bottom"/>
          </w:tcPr>
          <w:p w:rsidR="00C163D2" w:rsidRPr="007F1538" w:rsidRDefault="002E0B5E">
            <w:pPr>
              <w:jc w:val="center"/>
              <w:rPr>
                <w:rFonts w:cs="Arial"/>
                <w:lang w:val="fr-FR"/>
              </w:rPr>
            </w:pPr>
            <w:r w:rsidRPr="007F1538">
              <w:rPr>
                <w:rFonts w:cs="Arial"/>
                <w:lang w:val="fr-FR"/>
              </w:rPr>
              <w:t>11.060</w:t>
            </w:r>
          </w:p>
        </w:tc>
        <w:tc>
          <w:tcPr>
            <w:tcW w:w="1134" w:type="dxa"/>
            <w:tcBorders>
              <w:left w:val="single" w:sz="4" w:space="0" w:color="auto"/>
              <w:bottom w:val="single" w:sz="4" w:space="0" w:color="auto"/>
              <w:right w:val="single" w:sz="4" w:space="0" w:color="auto"/>
            </w:tcBorders>
            <w:vAlign w:val="bottom"/>
          </w:tcPr>
          <w:p w:rsidR="00C163D2" w:rsidRPr="007F1538" w:rsidRDefault="00C163D2">
            <w:pPr>
              <w:jc w:val="center"/>
              <w:rPr>
                <w:rFonts w:cs="Arial"/>
                <w:lang w:val="fr-FR"/>
              </w:rPr>
            </w:pPr>
            <w:r w:rsidRPr="007F1538">
              <w:rPr>
                <w:rFonts w:cs="Arial"/>
                <w:lang w:val="fr-FR"/>
              </w:rPr>
              <w:t>56.256</w:t>
            </w:r>
          </w:p>
        </w:tc>
      </w:tr>
      <w:tr w:rsidR="00C163D2" w:rsidRPr="007F1538" w:rsidTr="002E0B5E">
        <w:tc>
          <w:tcPr>
            <w:tcW w:w="993" w:type="dxa"/>
            <w:tcBorders>
              <w:top w:val="single" w:sz="4" w:space="0" w:color="auto"/>
              <w:left w:val="single" w:sz="4" w:space="0" w:color="auto"/>
              <w:bottom w:val="single" w:sz="4" w:space="0" w:color="auto"/>
              <w:right w:val="double" w:sz="4" w:space="0" w:color="auto"/>
            </w:tcBorders>
            <w:vAlign w:val="center"/>
          </w:tcPr>
          <w:p w:rsidR="00C163D2" w:rsidRPr="007F1538" w:rsidRDefault="00826136" w:rsidP="00690B4E">
            <w:pPr>
              <w:pStyle w:val="Header"/>
              <w:tabs>
                <w:tab w:val="clear" w:pos="4536"/>
                <w:tab w:val="clear" w:pos="9072"/>
              </w:tabs>
              <w:spacing w:before="120"/>
              <w:jc w:val="center"/>
              <w:rPr>
                <w:rFonts w:cs="Arial"/>
                <w:i/>
                <w:sz w:val="20"/>
                <w:szCs w:val="20"/>
                <w:lang w:val="fr-FR" w:eastAsia="nl-NL"/>
              </w:rPr>
            </w:pPr>
            <w:r w:rsidRPr="00826136">
              <w:rPr>
                <w:rFonts w:cs="Arial"/>
                <w:i/>
                <w:sz w:val="20"/>
                <w:szCs w:val="20"/>
                <w:lang w:val="fr-FR" w:eastAsia="nl-NL"/>
              </w:rPr>
              <w:lastRenderedPageBreak/>
              <w:t>Total</w:t>
            </w:r>
          </w:p>
        </w:tc>
        <w:tc>
          <w:tcPr>
            <w:tcW w:w="992" w:type="dxa"/>
            <w:tcBorders>
              <w:top w:val="single" w:sz="4" w:space="0" w:color="auto"/>
              <w:left w:val="single" w:sz="4" w:space="0" w:color="auto"/>
              <w:bottom w:val="single" w:sz="4" w:space="0" w:color="auto"/>
              <w:right w:val="single" w:sz="4" w:space="0" w:color="auto"/>
            </w:tcBorders>
            <w:vAlign w:val="center"/>
          </w:tcPr>
          <w:p w:rsidR="00C163D2" w:rsidRPr="007F1538" w:rsidRDefault="00C163D2" w:rsidP="007366AA">
            <w:pPr>
              <w:spacing w:before="120"/>
              <w:jc w:val="center"/>
              <w:rPr>
                <w:rFonts w:cs="Arial"/>
                <w:i/>
                <w:iCs/>
                <w:lang w:val="fr-FR"/>
              </w:rPr>
            </w:pPr>
            <w:r w:rsidRPr="007F1538">
              <w:rPr>
                <w:rFonts w:cs="Arial"/>
                <w:i/>
                <w:iCs/>
                <w:lang w:val="fr-FR"/>
              </w:rPr>
              <w:t>10,0 %</w:t>
            </w:r>
          </w:p>
        </w:tc>
        <w:tc>
          <w:tcPr>
            <w:tcW w:w="992" w:type="dxa"/>
            <w:tcBorders>
              <w:top w:val="single" w:sz="4" w:space="0" w:color="auto"/>
              <w:left w:val="single" w:sz="4" w:space="0" w:color="auto"/>
              <w:bottom w:val="single" w:sz="4" w:space="0" w:color="auto"/>
              <w:right w:val="single" w:sz="4" w:space="0" w:color="auto"/>
            </w:tcBorders>
          </w:tcPr>
          <w:p w:rsidR="00C163D2" w:rsidRPr="007F1538" w:rsidRDefault="00C163D2" w:rsidP="007366AA">
            <w:pPr>
              <w:spacing w:before="120"/>
              <w:jc w:val="center"/>
              <w:rPr>
                <w:rFonts w:cs="Arial"/>
                <w:i/>
                <w:iCs/>
                <w:lang w:val="fr-FR"/>
              </w:rPr>
            </w:pPr>
            <w:r w:rsidRPr="007F1538">
              <w:rPr>
                <w:rFonts w:cs="Arial"/>
                <w:i/>
                <w:iCs/>
                <w:lang w:val="fr-FR"/>
              </w:rPr>
              <w:t>11,6 %</w:t>
            </w:r>
          </w:p>
        </w:tc>
        <w:tc>
          <w:tcPr>
            <w:tcW w:w="992" w:type="dxa"/>
            <w:tcBorders>
              <w:top w:val="single" w:sz="4" w:space="0" w:color="auto"/>
              <w:left w:val="single" w:sz="4" w:space="0" w:color="auto"/>
              <w:bottom w:val="single" w:sz="4" w:space="0" w:color="auto"/>
              <w:right w:val="single" w:sz="4" w:space="0" w:color="auto"/>
            </w:tcBorders>
          </w:tcPr>
          <w:p w:rsidR="00C163D2" w:rsidRPr="007F1538" w:rsidRDefault="00C163D2" w:rsidP="007366AA">
            <w:pPr>
              <w:pStyle w:val="Header"/>
              <w:tabs>
                <w:tab w:val="clear" w:pos="4536"/>
                <w:tab w:val="clear" w:pos="9072"/>
              </w:tabs>
              <w:spacing w:before="120"/>
              <w:jc w:val="center"/>
              <w:rPr>
                <w:rFonts w:cs="Arial"/>
                <w:i/>
                <w:sz w:val="20"/>
                <w:szCs w:val="20"/>
                <w:lang w:val="fr-FR" w:eastAsia="nl-NL"/>
              </w:rPr>
            </w:pPr>
            <w:r w:rsidRPr="007F1538">
              <w:rPr>
                <w:rFonts w:cs="Arial"/>
                <w:i/>
                <w:sz w:val="20"/>
                <w:szCs w:val="20"/>
                <w:lang w:val="fr-FR" w:eastAsia="nl-NL"/>
              </w:rPr>
              <w:t>11,9 %</w:t>
            </w:r>
          </w:p>
        </w:tc>
        <w:tc>
          <w:tcPr>
            <w:tcW w:w="993" w:type="dxa"/>
            <w:tcBorders>
              <w:top w:val="single" w:sz="4" w:space="0" w:color="auto"/>
              <w:left w:val="single" w:sz="4" w:space="0" w:color="auto"/>
              <w:bottom w:val="single" w:sz="4" w:space="0" w:color="auto"/>
              <w:right w:val="single" w:sz="4" w:space="0" w:color="auto"/>
            </w:tcBorders>
            <w:vAlign w:val="center"/>
          </w:tcPr>
          <w:p w:rsidR="00C163D2" w:rsidRPr="007F1538" w:rsidRDefault="00C163D2" w:rsidP="007366AA">
            <w:pPr>
              <w:pStyle w:val="Header"/>
              <w:tabs>
                <w:tab w:val="clear" w:pos="4536"/>
                <w:tab w:val="clear" w:pos="9072"/>
              </w:tabs>
              <w:spacing w:before="120"/>
              <w:jc w:val="center"/>
              <w:rPr>
                <w:rFonts w:cs="Arial"/>
                <w:i/>
                <w:sz w:val="20"/>
                <w:szCs w:val="20"/>
                <w:lang w:val="fr-FR" w:eastAsia="nl-NL"/>
              </w:rPr>
            </w:pPr>
            <w:r w:rsidRPr="007F1538">
              <w:rPr>
                <w:rFonts w:cs="Arial"/>
                <w:i/>
                <w:sz w:val="20"/>
                <w:szCs w:val="20"/>
                <w:lang w:val="fr-FR" w:eastAsia="nl-NL"/>
              </w:rPr>
              <w:t>13,6 %</w:t>
            </w:r>
          </w:p>
        </w:tc>
        <w:tc>
          <w:tcPr>
            <w:tcW w:w="992" w:type="dxa"/>
            <w:tcBorders>
              <w:top w:val="single" w:sz="4" w:space="0" w:color="auto"/>
              <w:left w:val="single" w:sz="4" w:space="0" w:color="auto"/>
              <w:bottom w:val="single" w:sz="4" w:space="0" w:color="auto"/>
              <w:right w:val="single" w:sz="4" w:space="0" w:color="auto"/>
            </w:tcBorders>
            <w:vAlign w:val="bottom"/>
          </w:tcPr>
          <w:p w:rsidR="00C163D2" w:rsidRPr="007F1538" w:rsidRDefault="00C163D2">
            <w:pPr>
              <w:jc w:val="center"/>
              <w:rPr>
                <w:rFonts w:cs="Arial"/>
                <w:i/>
                <w:lang w:val="fr-FR"/>
              </w:rPr>
            </w:pPr>
            <w:r w:rsidRPr="007F1538">
              <w:rPr>
                <w:rFonts w:cs="Arial"/>
                <w:i/>
                <w:lang w:val="fr-FR"/>
              </w:rPr>
              <w:t>14,5%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63D2" w:rsidRPr="007F1538" w:rsidRDefault="002E0B5E" w:rsidP="008C78A5">
            <w:pPr>
              <w:pStyle w:val="Header"/>
              <w:tabs>
                <w:tab w:val="clear" w:pos="4536"/>
                <w:tab w:val="clear" w:pos="9072"/>
              </w:tabs>
              <w:spacing w:before="120"/>
              <w:jc w:val="center"/>
              <w:rPr>
                <w:rFonts w:cs="Arial"/>
                <w:i/>
                <w:sz w:val="20"/>
                <w:szCs w:val="20"/>
                <w:lang w:val="fr-FR" w:eastAsia="nl-NL"/>
              </w:rPr>
            </w:pPr>
            <w:r w:rsidRPr="007F1538">
              <w:rPr>
                <w:rFonts w:cs="Arial"/>
                <w:i/>
                <w:sz w:val="20"/>
                <w:szCs w:val="20"/>
                <w:lang w:val="fr-FR" w:eastAsia="nl-NL"/>
              </w:rPr>
              <w:t>17,4%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C163D2" w:rsidRPr="007F1538" w:rsidRDefault="002E0B5E">
            <w:pPr>
              <w:jc w:val="center"/>
              <w:rPr>
                <w:rFonts w:cs="Arial"/>
                <w:i/>
                <w:lang w:val="fr-FR"/>
              </w:rPr>
            </w:pPr>
            <w:r w:rsidRPr="007F1538">
              <w:rPr>
                <w:rFonts w:cs="Arial"/>
                <w:i/>
                <w:lang w:val="fr-FR"/>
              </w:rPr>
              <w:t>15.394</w:t>
            </w:r>
          </w:p>
        </w:tc>
        <w:tc>
          <w:tcPr>
            <w:tcW w:w="1134" w:type="dxa"/>
            <w:tcBorders>
              <w:top w:val="single" w:sz="4" w:space="0" w:color="auto"/>
              <w:left w:val="single" w:sz="4" w:space="0" w:color="auto"/>
              <w:bottom w:val="single" w:sz="4" w:space="0" w:color="auto"/>
              <w:right w:val="single" w:sz="4" w:space="0" w:color="auto"/>
            </w:tcBorders>
            <w:vAlign w:val="bottom"/>
          </w:tcPr>
          <w:p w:rsidR="00C163D2" w:rsidRPr="007F1538" w:rsidRDefault="00C163D2">
            <w:pPr>
              <w:jc w:val="center"/>
              <w:rPr>
                <w:rFonts w:cs="Arial"/>
                <w:i/>
                <w:lang w:val="fr-FR"/>
              </w:rPr>
            </w:pPr>
            <w:r w:rsidRPr="007F1538">
              <w:rPr>
                <w:rFonts w:cs="Arial"/>
                <w:i/>
                <w:lang w:val="fr-FR"/>
              </w:rPr>
              <w:t>88.714</w:t>
            </w:r>
          </w:p>
        </w:tc>
      </w:tr>
    </w:tbl>
    <w:p w:rsidR="00A73AD2" w:rsidRPr="007F1538" w:rsidRDefault="00A73AD2">
      <w:pPr>
        <w:rPr>
          <w:rFonts w:cs="Arial"/>
          <w:lang w:val="fr-FR"/>
        </w:rPr>
      </w:pPr>
    </w:p>
    <w:p w:rsidR="00BF76FC" w:rsidRPr="007F1538" w:rsidRDefault="00826136">
      <w:pPr>
        <w:rPr>
          <w:rFonts w:cs="Arial"/>
          <w:lang w:val="fr-FR"/>
        </w:rPr>
      </w:pPr>
      <w:r w:rsidRPr="00826136">
        <w:rPr>
          <w:rFonts w:cs="Arial"/>
          <w:lang w:val="fr-FR"/>
        </w:rPr>
        <w:t xml:space="preserve">La couverture continue à différer considérablement selon le niveau </w:t>
      </w:r>
      <w:r w:rsidR="00324C03">
        <w:rPr>
          <w:rFonts w:cs="Arial"/>
          <w:lang w:val="fr-FR"/>
        </w:rPr>
        <w:t>d’études</w:t>
      </w:r>
      <w:r w:rsidRPr="00826136">
        <w:rPr>
          <w:rFonts w:cs="Arial"/>
          <w:lang w:val="fr-FR"/>
        </w:rPr>
        <w:t>.</w:t>
      </w:r>
      <w:r w:rsidR="008048CB" w:rsidRPr="007F1538">
        <w:rPr>
          <w:rFonts w:cs="Arial"/>
          <w:lang w:val="fr-FR"/>
        </w:rPr>
        <w:t xml:space="preserve"> </w:t>
      </w:r>
      <w:r w:rsidRPr="00826136">
        <w:rPr>
          <w:rFonts w:cs="Arial"/>
          <w:lang w:val="fr-FR"/>
        </w:rPr>
        <w:t>Plus le niveau est bas, plus la couverture est faible.</w:t>
      </w:r>
      <w:r w:rsidR="00BF76FC" w:rsidRPr="007F1538">
        <w:rPr>
          <w:rFonts w:cs="Arial"/>
          <w:lang w:val="fr-FR"/>
        </w:rPr>
        <w:t xml:space="preserve"> </w:t>
      </w:r>
      <w:r w:rsidRPr="00826136">
        <w:rPr>
          <w:rFonts w:cs="Arial"/>
          <w:lang w:val="fr-FR"/>
        </w:rPr>
        <w:t>Et le fossé s’agrandit :</w:t>
      </w:r>
      <w:r w:rsidR="0002239E" w:rsidRPr="007F1538">
        <w:rPr>
          <w:rFonts w:cs="Arial"/>
          <w:lang w:val="fr-FR"/>
        </w:rPr>
        <w:t xml:space="preserve"> </w:t>
      </w:r>
      <w:r w:rsidRPr="00826136">
        <w:rPr>
          <w:rFonts w:cs="Arial"/>
          <w:lang w:val="fr-FR"/>
        </w:rPr>
        <w:t xml:space="preserve">bien que la couverture des personnes peu qualifiées ait augmenté en 2009, cette hausse a été moins importante que pour les travailleurs hautement qualifiés. </w:t>
      </w:r>
    </w:p>
    <w:p w:rsidR="00E20FFB" w:rsidRPr="007F1538" w:rsidRDefault="00BF76FC">
      <w:pPr>
        <w:rPr>
          <w:rFonts w:cs="Arial"/>
          <w:lang w:val="fr-FR"/>
        </w:rPr>
      </w:pPr>
      <w:r w:rsidRPr="007F1538">
        <w:rPr>
          <w:rFonts w:cs="Arial"/>
          <w:lang w:val="fr-FR"/>
        </w:rPr>
        <w:t xml:space="preserve"> </w:t>
      </w:r>
    </w:p>
    <w:p w:rsidR="00A73AD2" w:rsidRPr="007F1538" w:rsidRDefault="007A50E0" w:rsidP="00826136">
      <w:pPr>
        <w:pStyle w:val="Header"/>
        <w:tabs>
          <w:tab w:val="clear" w:pos="4536"/>
          <w:tab w:val="clear" w:pos="9072"/>
        </w:tabs>
        <w:spacing w:after="120"/>
        <w:rPr>
          <w:rFonts w:cs="Arial"/>
          <w:sz w:val="20"/>
          <w:szCs w:val="20"/>
          <w:lang w:val="fr-FR"/>
        </w:rPr>
      </w:pPr>
      <w:r>
        <w:rPr>
          <w:rFonts w:cs="Arial"/>
          <w:sz w:val="20"/>
          <w:szCs w:val="20"/>
          <w:lang w:val="fr-FR"/>
        </w:rPr>
        <w:t>Tableau 18</w:t>
      </w:r>
      <w:r w:rsidR="00826136" w:rsidRPr="00826136">
        <w:rPr>
          <w:rFonts w:cs="Arial"/>
          <w:sz w:val="20"/>
          <w:szCs w:val="20"/>
          <w:lang w:val="fr-FR"/>
        </w:rPr>
        <w:t> : couverture des travailleurs selon le dernier diplôme obtenu, en % du nombre de travailleurs</w:t>
      </w:r>
    </w:p>
    <w:tbl>
      <w:tblPr>
        <w:tblW w:w="893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992"/>
        <w:gridCol w:w="992"/>
        <w:gridCol w:w="993"/>
        <w:gridCol w:w="992"/>
        <w:gridCol w:w="992"/>
        <w:gridCol w:w="851"/>
        <w:gridCol w:w="1134"/>
      </w:tblGrid>
      <w:tr w:rsidR="00D22816" w:rsidRPr="007F1538" w:rsidTr="002E0B5E">
        <w:trPr>
          <w:cantSplit/>
        </w:trPr>
        <w:tc>
          <w:tcPr>
            <w:tcW w:w="993" w:type="dxa"/>
            <w:tcBorders>
              <w:top w:val="single" w:sz="4" w:space="0" w:color="auto"/>
              <w:left w:val="single" w:sz="4" w:space="0" w:color="auto"/>
              <w:bottom w:val="double" w:sz="4" w:space="0" w:color="auto"/>
              <w:right w:val="double" w:sz="4" w:space="0" w:color="auto"/>
            </w:tcBorders>
            <w:vAlign w:val="center"/>
          </w:tcPr>
          <w:p w:rsidR="00D22816" w:rsidRPr="007F1538" w:rsidRDefault="00826136" w:rsidP="00690B4E">
            <w:pPr>
              <w:spacing w:before="120"/>
              <w:jc w:val="center"/>
              <w:rPr>
                <w:rFonts w:cs="Arial"/>
                <w:lang w:val="fr-FR"/>
              </w:rPr>
            </w:pPr>
            <w:r w:rsidRPr="00826136">
              <w:rPr>
                <w:rFonts w:cs="Arial"/>
                <w:lang w:val="fr-FR"/>
              </w:rPr>
              <w:t>Dernier diplôme obtenu</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ind w:left="-70"/>
              <w:jc w:val="center"/>
              <w:rPr>
                <w:rFonts w:cs="Arial"/>
                <w:lang w:val="fr-FR"/>
              </w:rPr>
            </w:pPr>
            <w:r w:rsidRPr="00583EE9">
              <w:rPr>
                <w:rFonts w:cs="Arial"/>
                <w:lang w:val="fr-FR"/>
              </w:rPr>
              <w:t>2004</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ind w:left="-70"/>
              <w:jc w:val="center"/>
              <w:rPr>
                <w:rFonts w:cs="Arial"/>
                <w:lang w:val="fr-FR"/>
              </w:rPr>
            </w:pPr>
            <w:r w:rsidRPr="00583EE9">
              <w:rPr>
                <w:rFonts w:cs="Arial"/>
                <w:lang w:val="fr-FR"/>
              </w:rPr>
              <w:t>2005</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ind w:left="-70"/>
              <w:jc w:val="center"/>
              <w:rPr>
                <w:rFonts w:cs="Arial"/>
                <w:lang w:val="fr-FR"/>
              </w:rPr>
            </w:pPr>
            <w:r w:rsidRPr="00583EE9">
              <w:rPr>
                <w:rFonts w:cs="Arial"/>
                <w:lang w:val="fr-FR"/>
              </w:rPr>
              <w:t>2006</w:t>
            </w:r>
          </w:p>
        </w:tc>
        <w:tc>
          <w:tcPr>
            <w:tcW w:w="993"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jc w:val="center"/>
              <w:rPr>
                <w:rFonts w:cs="Arial"/>
                <w:lang w:val="fr-FR"/>
              </w:rPr>
            </w:pPr>
            <w:r w:rsidRPr="00583EE9">
              <w:rPr>
                <w:rFonts w:cs="Arial"/>
                <w:lang w:val="fr-FR"/>
              </w:rPr>
              <w:t>2007</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jc w:val="center"/>
              <w:rPr>
                <w:rFonts w:cs="Arial"/>
                <w:lang w:val="fr-FR"/>
              </w:rPr>
            </w:pPr>
            <w:r w:rsidRPr="00583EE9">
              <w:rPr>
                <w:rFonts w:cs="Arial"/>
                <w:lang w:val="fr-FR"/>
              </w:rPr>
              <w:t>2008</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ind w:left="-70"/>
              <w:jc w:val="center"/>
              <w:rPr>
                <w:rFonts w:cs="Arial"/>
                <w:lang w:val="fr-FR"/>
              </w:rPr>
            </w:pPr>
            <w:r w:rsidRPr="00583EE9">
              <w:rPr>
                <w:rFonts w:cs="Arial"/>
                <w:lang w:val="fr-FR"/>
              </w:rPr>
              <w:t>2009</w:t>
            </w:r>
          </w:p>
        </w:tc>
        <w:tc>
          <w:tcPr>
            <w:tcW w:w="851"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jc w:val="center"/>
              <w:rPr>
                <w:rFonts w:cs="Arial"/>
                <w:lang w:val="fr-FR"/>
              </w:rPr>
            </w:pPr>
            <w:r w:rsidRPr="00826136">
              <w:rPr>
                <w:rFonts w:cs="Arial"/>
                <w:lang w:val="fr-FR"/>
              </w:rPr>
              <w:t>Travailleurs</w:t>
            </w:r>
          </w:p>
        </w:tc>
        <w:tc>
          <w:tcPr>
            <w:tcW w:w="1134"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jc w:val="center"/>
              <w:rPr>
                <w:rFonts w:cs="Arial"/>
                <w:lang w:val="fr-FR"/>
              </w:rPr>
            </w:pPr>
            <w:r w:rsidRPr="00826136">
              <w:rPr>
                <w:rFonts w:cs="Arial"/>
                <w:lang w:val="fr-FR"/>
              </w:rPr>
              <w:t>Population</w:t>
            </w:r>
          </w:p>
        </w:tc>
      </w:tr>
      <w:tr w:rsidR="00D22816" w:rsidRPr="007F1538" w:rsidTr="002E0B5E">
        <w:trPr>
          <w:cantSplit/>
        </w:trPr>
        <w:tc>
          <w:tcPr>
            <w:tcW w:w="993" w:type="dxa"/>
            <w:tcBorders>
              <w:left w:val="single" w:sz="4" w:space="0" w:color="auto"/>
              <w:bottom w:val="single" w:sz="4" w:space="0" w:color="auto"/>
              <w:right w:val="double" w:sz="4" w:space="0" w:color="auto"/>
            </w:tcBorders>
          </w:tcPr>
          <w:p w:rsidR="00D22816" w:rsidRPr="007F1538" w:rsidRDefault="00826136" w:rsidP="00690B4E">
            <w:pPr>
              <w:spacing w:before="120"/>
              <w:jc w:val="center"/>
              <w:rPr>
                <w:rFonts w:cs="Arial"/>
                <w:lang w:val="fr-FR"/>
              </w:rPr>
            </w:pPr>
            <w:r w:rsidRPr="00826136">
              <w:rPr>
                <w:rFonts w:cs="Arial"/>
                <w:lang w:val="fr-FR"/>
              </w:rPr>
              <w:t>Enseignement primaire</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3,0 %</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6,7 %</w:t>
            </w:r>
          </w:p>
        </w:tc>
        <w:tc>
          <w:tcPr>
            <w:tcW w:w="992" w:type="dxa"/>
            <w:tcBorders>
              <w:left w:val="single" w:sz="4" w:space="0" w:color="auto"/>
              <w:bottom w:val="single" w:sz="4" w:space="0" w:color="auto"/>
              <w:right w:val="single" w:sz="4" w:space="0" w:color="auto"/>
            </w:tcBorders>
            <w:vAlign w:val="bottom"/>
          </w:tcPr>
          <w:p w:rsidR="00D22816" w:rsidRPr="007F1538" w:rsidRDefault="00D22816" w:rsidP="00F62BA0">
            <w:pPr>
              <w:spacing w:before="120"/>
              <w:ind w:left="-70"/>
              <w:jc w:val="center"/>
              <w:rPr>
                <w:rFonts w:cs="Arial"/>
                <w:lang w:val="fr-FR"/>
              </w:rPr>
            </w:pPr>
            <w:r w:rsidRPr="007F1538">
              <w:rPr>
                <w:rFonts w:cs="Arial"/>
                <w:lang w:val="fr-FR"/>
              </w:rPr>
              <w:t>4,4 %</w:t>
            </w:r>
          </w:p>
        </w:tc>
        <w:tc>
          <w:tcPr>
            <w:tcW w:w="993" w:type="dxa"/>
            <w:tcBorders>
              <w:left w:val="single" w:sz="4" w:space="0" w:color="auto"/>
              <w:bottom w:val="single" w:sz="4" w:space="0" w:color="auto"/>
              <w:right w:val="single" w:sz="4" w:space="0" w:color="auto"/>
            </w:tcBorders>
            <w:vAlign w:val="bottom"/>
          </w:tcPr>
          <w:p w:rsidR="00D22816" w:rsidRPr="007F1538" w:rsidRDefault="00D22816" w:rsidP="00F62BA0">
            <w:pPr>
              <w:jc w:val="center"/>
              <w:rPr>
                <w:rFonts w:cs="Arial"/>
                <w:iCs/>
                <w:lang w:val="fr-FR"/>
              </w:rPr>
            </w:pPr>
            <w:r w:rsidRPr="007F1538">
              <w:rPr>
                <w:rFonts w:cs="Arial"/>
                <w:iCs/>
                <w:lang w:val="fr-FR"/>
              </w:rPr>
              <w:t>6,8%</w:t>
            </w:r>
          </w:p>
        </w:tc>
        <w:tc>
          <w:tcPr>
            <w:tcW w:w="992" w:type="dxa"/>
            <w:tcBorders>
              <w:left w:val="single" w:sz="4" w:space="0" w:color="auto"/>
              <w:bottom w:val="single" w:sz="4" w:space="0" w:color="auto"/>
              <w:right w:val="single" w:sz="4" w:space="0" w:color="auto"/>
            </w:tcBorders>
            <w:vAlign w:val="bottom"/>
          </w:tcPr>
          <w:p w:rsidR="00D22816" w:rsidRPr="007F1538" w:rsidRDefault="00D22816">
            <w:pPr>
              <w:jc w:val="center"/>
              <w:rPr>
                <w:rFonts w:cs="Arial"/>
                <w:iCs/>
                <w:lang w:val="fr-FR"/>
              </w:rPr>
            </w:pPr>
            <w:r w:rsidRPr="007F1538">
              <w:rPr>
                <w:rFonts w:cs="Arial"/>
                <w:iCs/>
                <w:lang w:val="fr-FR"/>
              </w:rPr>
              <w:t>9,0%</w:t>
            </w:r>
          </w:p>
        </w:tc>
        <w:tc>
          <w:tcPr>
            <w:tcW w:w="992" w:type="dxa"/>
            <w:tcBorders>
              <w:left w:val="single" w:sz="4" w:space="0" w:color="auto"/>
              <w:bottom w:val="single" w:sz="4" w:space="0" w:color="auto"/>
              <w:right w:val="single" w:sz="4" w:space="0" w:color="auto"/>
            </w:tcBorders>
            <w:shd w:val="clear" w:color="auto" w:fill="auto"/>
            <w:vAlign w:val="bottom"/>
          </w:tcPr>
          <w:p w:rsidR="00D22816" w:rsidRPr="007F1538" w:rsidRDefault="00BF76FC">
            <w:pPr>
              <w:jc w:val="center"/>
              <w:rPr>
                <w:rFonts w:cs="Arial"/>
                <w:lang w:val="fr-FR"/>
              </w:rPr>
            </w:pPr>
            <w:r w:rsidRPr="007F1538">
              <w:rPr>
                <w:rFonts w:cs="Arial"/>
                <w:lang w:val="fr-FR"/>
              </w:rPr>
              <w:t>9,5%</w:t>
            </w:r>
            <w:r w:rsidR="00D22816" w:rsidRPr="007F1538">
              <w:rPr>
                <w:rFonts w:cs="Arial"/>
                <w:lang w:val="fr-FR"/>
              </w:rPr>
              <w:t> </w:t>
            </w:r>
          </w:p>
        </w:tc>
        <w:tc>
          <w:tcPr>
            <w:tcW w:w="851" w:type="dxa"/>
            <w:tcBorders>
              <w:left w:val="single" w:sz="4" w:space="0" w:color="auto"/>
              <w:bottom w:val="single" w:sz="4" w:space="0" w:color="auto"/>
              <w:right w:val="single" w:sz="4" w:space="0" w:color="auto"/>
            </w:tcBorders>
            <w:shd w:val="clear" w:color="auto" w:fill="auto"/>
            <w:vAlign w:val="bottom"/>
          </w:tcPr>
          <w:p w:rsidR="00D22816" w:rsidRPr="007F1538" w:rsidRDefault="00BF76FC">
            <w:pPr>
              <w:jc w:val="center"/>
              <w:rPr>
                <w:rFonts w:cs="Arial"/>
                <w:lang w:val="fr-FR"/>
              </w:rPr>
            </w:pPr>
            <w:r w:rsidRPr="007F1538">
              <w:rPr>
                <w:rFonts w:cs="Arial"/>
                <w:lang w:val="fr-FR"/>
              </w:rPr>
              <w:t>990</w:t>
            </w:r>
          </w:p>
        </w:tc>
        <w:tc>
          <w:tcPr>
            <w:tcW w:w="1134" w:type="dxa"/>
            <w:tcBorders>
              <w:left w:val="single" w:sz="4" w:space="0" w:color="auto"/>
              <w:bottom w:val="single" w:sz="4" w:space="0" w:color="auto"/>
              <w:right w:val="single" w:sz="4" w:space="0" w:color="auto"/>
            </w:tcBorders>
            <w:vAlign w:val="bottom"/>
          </w:tcPr>
          <w:p w:rsidR="00D22816" w:rsidRPr="007F1538" w:rsidRDefault="00D22816">
            <w:pPr>
              <w:jc w:val="right"/>
              <w:rPr>
                <w:rFonts w:cs="Arial"/>
                <w:lang w:val="fr-FR"/>
              </w:rPr>
            </w:pPr>
            <w:r w:rsidRPr="007F1538">
              <w:rPr>
                <w:rFonts w:cs="Arial"/>
                <w:lang w:val="fr-FR"/>
              </w:rPr>
              <w:t>10.427</w:t>
            </w:r>
          </w:p>
        </w:tc>
      </w:tr>
      <w:tr w:rsidR="00D22816" w:rsidRPr="007F1538" w:rsidTr="002E0B5E">
        <w:trPr>
          <w:cantSplit/>
        </w:trPr>
        <w:tc>
          <w:tcPr>
            <w:tcW w:w="993" w:type="dxa"/>
            <w:tcBorders>
              <w:left w:val="single" w:sz="4" w:space="0" w:color="auto"/>
              <w:bottom w:val="single" w:sz="4" w:space="0" w:color="auto"/>
              <w:right w:val="double" w:sz="4" w:space="0" w:color="auto"/>
            </w:tcBorders>
          </w:tcPr>
          <w:p w:rsidR="00D22816" w:rsidRPr="007F1538" w:rsidRDefault="00324C03" w:rsidP="00690B4E">
            <w:pPr>
              <w:spacing w:before="120"/>
              <w:jc w:val="center"/>
              <w:rPr>
                <w:rFonts w:cs="Arial"/>
                <w:lang w:val="fr-FR"/>
              </w:rPr>
            </w:pPr>
            <w:r w:rsidRPr="008923F8">
              <w:rPr>
                <w:rFonts w:cs="Arial"/>
                <w:lang w:val="fr-FR"/>
              </w:rPr>
              <w:t>CESI</w:t>
            </w:r>
            <w:r w:rsidR="000E1E00" w:rsidRPr="008923F8">
              <w:rPr>
                <w:rStyle w:val="FootnoteReference"/>
                <w:rFonts w:cs="Arial"/>
                <w:lang w:val="fr-FR"/>
              </w:rPr>
              <w:footnoteReference w:id="4"/>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9,7 %</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10,8 %</w:t>
            </w:r>
          </w:p>
        </w:tc>
        <w:tc>
          <w:tcPr>
            <w:tcW w:w="992" w:type="dxa"/>
            <w:tcBorders>
              <w:left w:val="single" w:sz="4" w:space="0" w:color="auto"/>
              <w:bottom w:val="single" w:sz="4" w:space="0" w:color="auto"/>
              <w:right w:val="single" w:sz="4" w:space="0" w:color="auto"/>
            </w:tcBorders>
            <w:vAlign w:val="bottom"/>
          </w:tcPr>
          <w:p w:rsidR="00D22816" w:rsidRPr="007F1538" w:rsidRDefault="00D22816" w:rsidP="00F62BA0">
            <w:pPr>
              <w:spacing w:before="120"/>
              <w:ind w:left="-70"/>
              <w:jc w:val="center"/>
              <w:rPr>
                <w:rFonts w:cs="Arial"/>
                <w:lang w:val="fr-FR"/>
              </w:rPr>
            </w:pPr>
            <w:r w:rsidRPr="007F1538">
              <w:rPr>
                <w:rFonts w:cs="Arial"/>
                <w:lang w:val="fr-FR"/>
              </w:rPr>
              <w:t>11,3 %</w:t>
            </w:r>
          </w:p>
        </w:tc>
        <w:tc>
          <w:tcPr>
            <w:tcW w:w="993" w:type="dxa"/>
            <w:tcBorders>
              <w:left w:val="single" w:sz="4" w:space="0" w:color="auto"/>
              <w:bottom w:val="single" w:sz="4" w:space="0" w:color="auto"/>
              <w:right w:val="single" w:sz="4" w:space="0" w:color="auto"/>
            </w:tcBorders>
            <w:vAlign w:val="bottom"/>
          </w:tcPr>
          <w:p w:rsidR="00D22816" w:rsidRPr="007F1538" w:rsidRDefault="00D22816" w:rsidP="00F62BA0">
            <w:pPr>
              <w:jc w:val="center"/>
              <w:rPr>
                <w:rFonts w:cs="Arial"/>
                <w:iCs/>
                <w:lang w:val="fr-FR"/>
              </w:rPr>
            </w:pPr>
            <w:r w:rsidRPr="007F1538">
              <w:rPr>
                <w:rFonts w:cs="Arial"/>
                <w:iCs/>
                <w:lang w:val="fr-FR"/>
              </w:rPr>
              <w:t>14,3%</w:t>
            </w:r>
          </w:p>
        </w:tc>
        <w:tc>
          <w:tcPr>
            <w:tcW w:w="992" w:type="dxa"/>
            <w:tcBorders>
              <w:left w:val="single" w:sz="4" w:space="0" w:color="auto"/>
              <w:bottom w:val="single" w:sz="4" w:space="0" w:color="auto"/>
              <w:right w:val="single" w:sz="4" w:space="0" w:color="auto"/>
            </w:tcBorders>
            <w:vAlign w:val="bottom"/>
          </w:tcPr>
          <w:p w:rsidR="00D22816" w:rsidRPr="007F1538" w:rsidRDefault="00D22816">
            <w:pPr>
              <w:jc w:val="center"/>
              <w:rPr>
                <w:rFonts w:cs="Arial"/>
                <w:iCs/>
                <w:lang w:val="fr-FR"/>
              </w:rPr>
            </w:pPr>
            <w:r w:rsidRPr="007F1538">
              <w:rPr>
                <w:rFonts w:cs="Arial"/>
                <w:iCs/>
                <w:lang w:val="fr-FR"/>
              </w:rPr>
              <w:t>13,7%</w:t>
            </w:r>
          </w:p>
        </w:tc>
        <w:tc>
          <w:tcPr>
            <w:tcW w:w="992" w:type="dxa"/>
            <w:tcBorders>
              <w:left w:val="single" w:sz="4" w:space="0" w:color="auto"/>
              <w:bottom w:val="single" w:sz="4" w:space="0" w:color="auto"/>
              <w:right w:val="single" w:sz="4" w:space="0" w:color="auto"/>
            </w:tcBorders>
            <w:shd w:val="clear" w:color="auto" w:fill="auto"/>
            <w:vAlign w:val="bottom"/>
          </w:tcPr>
          <w:p w:rsidR="00D22816" w:rsidRPr="007F1538" w:rsidRDefault="00D22816">
            <w:pPr>
              <w:jc w:val="center"/>
              <w:rPr>
                <w:rFonts w:cs="Arial"/>
                <w:lang w:val="fr-FR"/>
              </w:rPr>
            </w:pPr>
            <w:r w:rsidRPr="007F1538">
              <w:rPr>
                <w:rFonts w:cs="Arial"/>
                <w:lang w:val="fr-FR"/>
              </w:rPr>
              <w:t> </w:t>
            </w:r>
            <w:r w:rsidR="00BF76FC" w:rsidRPr="007F1538">
              <w:rPr>
                <w:rFonts w:cs="Arial"/>
                <w:lang w:val="fr-FR"/>
              </w:rPr>
              <w:t>14,2%</w:t>
            </w:r>
          </w:p>
        </w:tc>
        <w:tc>
          <w:tcPr>
            <w:tcW w:w="851" w:type="dxa"/>
            <w:tcBorders>
              <w:left w:val="single" w:sz="4" w:space="0" w:color="auto"/>
              <w:bottom w:val="single" w:sz="4" w:space="0" w:color="auto"/>
              <w:right w:val="single" w:sz="4" w:space="0" w:color="auto"/>
            </w:tcBorders>
            <w:shd w:val="clear" w:color="auto" w:fill="auto"/>
            <w:vAlign w:val="bottom"/>
          </w:tcPr>
          <w:p w:rsidR="00D22816" w:rsidRPr="007F1538" w:rsidRDefault="00BF76FC">
            <w:pPr>
              <w:jc w:val="center"/>
              <w:rPr>
                <w:rFonts w:cs="Arial"/>
                <w:lang w:val="fr-FR"/>
              </w:rPr>
            </w:pPr>
            <w:r w:rsidRPr="007F1538">
              <w:rPr>
                <w:rFonts w:cs="Arial"/>
                <w:lang w:val="fr-FR"/>
              </w:rPr>
              <w:t>2.586</w:t>
            </w:r>
          </w:p>
        </w:tc>
        <w:tc>
          <w:tcPr>
            <w:tcW w:w="1134" w:type="dxa"/>
            <w:tcBorders>
              <w:left w:val="single" w:sz="4" w:space="0" w:color="auto"/>
              <w:bottom w:val="single" w:sz="4" w:space="0" w:color="auto"/>
              <w:right w:val="single" w:sz="4" w:space="0" w:color="auto"/>
            </w:tcBorders>
            <w:vAlign w:val="bottom"/>
          </w:tcPr>
          <w:p w:rsidR="00D22816" w:rsidRPr="007F1538" w:rsidRDefault="00D22816">
            <w:pPr>
              <w:jc w:val="right"/>
              <w:rPr>
                <w:rFonts w:cs="Arial"/>
                <w:lang w:val="fr-FR"/>
              </w:rPr>
            </w:pPr>
            <w:r w:rsidRPr="007F1538">
              <w:rPr>
                <w:rFonts w:cs="Arial"/>
                <w:lang w:val="fr-FR"/>
              </w:rPr>
              <w:t>18.185</w:t>
            </w:r>
          </w:p>
        </w:tc>
      </w:tr>
      <w:tr w:rsidR="00D22816" w:rsidRPr="007F1538" w:rsidTr="002E0B5E">
        <w:trPr>
          <w:cantSplit/>
        </w:trPr>
        <w:tc>
          <w:tcPr>
            <w:tcW w:w="993" w:type="dxa"/>
            <w:tcBorders>
              <w:left w:val="single" w:sz="4" w:space="0" w:color="auto"/>
              <w:bottom w:val="single" w:sz="4" w:space="0" w:color="auto"/>
              <w:right w:val="double" w:sz="4" w:space="0" w:color="auto"/>
            </w:tcBorders>
          </w:tcPr>
          <w:p w:rsidR="00D22816" w:rsidRPr="007F1538" w:rsidRDefault="00324C03" w:rsidP="00690B4E">
            <w:pPr>
              <w:spacing w:before="120"/>
              <w:jc w:val="center"/>
              <w:rPr>
                <w:rFonts w:cs="Arial"/>
                <w:lang w:val="fr-FR"/>
              </w:rPr>
            </w:pPr>
            <w:r w:rsidRPr="008923F8">
              <w:rPr>
                <w:rFonts w:cs="Arial"/>
                <w:lang w:val="fr-FR"/>
              </w:rPr>
              <w:t>C</w:t>
            </w:r>
            <w:r w:rsidR="00826136" w:rsidRPr="008923F8">
              <w:rPr>
                <w:rFonts w:cs="Arial"/>
                <w:lang w:val="fr-FR"/>
              </w:rPr>
              <w:t>ESS</w:t>
            </w:r>
            <w:r w:rsidR="000E1E00" w:rsidRPr="008923F8">
              <w:rPr>
                <w:rStyle w:val="FootnoteReference"/>
                <w:rFonts w:cs="Arial"/>
                <w:lang w:val="fr-FR"/>
              </w:rPr>
              <w:footnoteReference w:id="5"/>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9,3 %</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11,0 %</w:t>
            </w:r>
          </w:p>
        </w:tc>
        <w:tc>
          <w:tcPr>
            <w:tcW w:w="992" w:type="dxa"/>
            <w:tcBorders>
              <w:left w:val="single" w:sz="4" w:space="0" w:color="auto"/>
              <w:bottom w:val="single" w:sz="4" w:space="0" w:color="auto"/>
              <w:right w:val="single" w:sz="4" w:space="0" w:color="auto"/>
            </w:tcBorders>
            <w:vAlign w:val="bottom"/>
          </w:tcPr>
          <w:p w:rsidR="00D22816" w:rsidRPr="007F1538" w:rsidRDefault="00D22816" w:rsidP="00F62BA0">
            <w:pPr>
              <w:spacing w:before="120"/>
              <w:ind w:left="-70"/>
              <w:jc w:val="center"/>
              <w:rPr>
                <w:rFonts w:cs="Arial"/>
                <w:lang w:val="fr-FR"/>
              </w:rPr>
            </w:pPr>
            <w:r w:rsidRPr="007F1538">
              <w:rPr>
                <w:rFonts w:cs="Arial"/>
                <w:lang w:val="fr-FR"/>
              </w:rPr>
              <w:t>11,9 %</w:t>
            </w:r>
          </w:p>
        </w:tc>
        <w:tc>
          <w:tcPr>
            <w:tcW w:w="993" w:type="dxa"/>
            <w:tcBorders>
              <w:left w:val="single" w:sz="4" w:space="0" w:color="auto"/>
              <w:bottom w:val="single" w:sz="4" w:space="0" w:color="auto"/>
              <w:right w:val="single" w:sz="4" w:space="0" w:color="auto"/>
            </w:tcBorders>
            <w:vAlign w:val="bottom"/>
          </w:tcPr>
          <w:p w:rsidR="00D22816" w:rsidRPr="007F1538" w:rsidRDefault="00D22816" w:rsidP="00F62BA0">
            <w:pPr>
              <w:jc w:val="center"/>
              <w:rPr>
                <w:rFonts w:cs="Arial"/>
                <w:iCs/>
                <w:lang w:val="fr-FR"/>
              </w:rPr>
            </w:pPr>
            <w:r w:rsidRPr="007F1538">
              <w:rPr>
                <w:rFonts w:cs="Arial"/>
                <w:iCs/>
                <w:lang w:val="fr-FR"/>
              </w:rPr>
              <w:t>13,5%</w:t>
            </w:r>
          </w:p>
        </w:tc>
        <w:tc>
          <w:tcPr>
            <w:tcW w:w="992" w:type="dxa"/>
            <w:tcBorders>
              <w:left w:val="single" w:sz="4" w:space="0" w:color="auto"/>
              <w:bottom w:val="single" w:sz="4" w:space="0" w:color="auto"/>
              <w:right w:val="single" w:sz="4" w:space="0" w:color="auto"/>
            </w:tcBorders>
            <w:vAlign w:val="bottom"/>
          </w:tcPr>
          <w:p w:rsidR="00D22816" w:rsidRPr="007F1538" w:rsidRDefault="00D22816">
            <w:pPr>
              <w:jc w:val="center"/>
              <w:rPr>
                <w:rFonts w:cs="Arial"/>
                <w:iCs/>
                <w:lang w:val="fr-FR"/>
              </w:rPr>
            </w:pPr>
            <w:r w:rsidRPr="007F1538">
              <w:rPr>
                <w:rFonts w:cs="Arial"/>
                <w:iCs/>
                <w:lang w:val="fr-FR"/>
              </w:rPr>
              <w:t>14,0%</w:t>
            </w:r>
          </w:p>
        </w:tc>
        <w:tc>
          <w:tcPr>
            <w:tcW w:w="992" w:type="dxa"/>
            <w:tcBorders>
              <w:left w:val="single" w:sz="4" w:space="0" w:color="auto"/>
              <w:bottom w:val="single" w:sz="4" w:space="0" w:color="auto"/>
              <w:right w:val="single" w:sz="4" w:space="0" w:color="auto"/>
            </w:tcBorders>
            <w:shd w:val="clear" w:color="auto" w:fill="auto"/>
            <w:vAlign w:val="bottom"/>
          </w:tcPr>
          <w:p w:rsidR="00D22816" w:rsidRPr="007F1538" w:rsidRDefault="00D22816">
            <w:pPr>
              <w:jc w:val="center"/>
              <w:rPr>
                <w:rFonts w:cs="Arial"/>
                <w:lang w:val="fr-FR"/>
              </w:rPr>
            </w:pPr>
            <w:r w:rsidRPr="007F1538">
              <w:rPr>
                <w:rFonts w:cs="Arial"/>
                <w:lang w:val="fr-FR"/>
              </w:rPr>
              <w:t> </w:t>
            </w:r>
            <w:r w:rsidR="00BF76FC" w:rsidRPr="007F1538">
              <w:rPr>
                <w:rFonts w:cs="Arial"/>
                <w:lang w:val="fr-FR"/>
              </w:rPr>
              <w:t>18,0%</w:t>
            </w:r>
          </w:p>
        </w:tc>
        <w:tc>
          <w:tcPr>
            <w:tcW w:w="851" w:type="dxa"/>
            <w:tcBorders>
              <w:left w:val="single" w:sz="4" w:space="0" w:color="auto"/>
              <w:bottom w:val="single" w:sz="4" w:space="0" w:color="auto"/>
              <w:right w:val="single" w:sz="4" w:space="0" w:color="auto"/>
            </w:tcBorders>
            <w:shd w:val="clear" w:color="auto" w:fill="auto"/>
            <w:vAlign w:val="bottom"/>
          </w:tcPr>
          <w:p w:rsidR="00D22816" w:rsidRPr="007F1538" w:rsidRDefault="00BF76FC">
            <w:pPr>
              <w:jc w:val="center"/>
              <w:rPr>
                <w:rFonts w:cs="Arial"/>
                <w:lang w:val="fr-FR"/>
              </w:rPr>
            </w:pPr>
            <w:r w:rsidRPr="007F1538">
              <w:rPr>
                <w:rFonts w:cs="Arial"/>
                <w:lang w:val="fr-FR"/>
              </w:rPr>
              <w:t>7.225</w:t>
            </w:r>
          </w:p>
        </w:tc>
        <w:tc>
          <w:tcPr>
            <w:tcW w:w="1134" w:type="dxa"/>
            <w:tcBorders>
              <w:left w:val="single" w:sz="4" w:space="0" w:color="auto"/>
              <w:bottom w:val="single" w:sz="4" w:space="0" w:color="auto"/>
              <w:right w:val="single" w:sz="4" w:space="0" w:color="auto"/>
            </w:tcBorders>
            <w:vAlign w:val="bottom"/>
          </w:tcPr>
          <w:p w:rsidR="00D22816" w:rsidRPr="007F1538" w:rsidRDefault="00D22816">
            <w:pPr>
              <w:jc w:val="right"/>
              <w:rPr>
                <w:rFonts w:cs="Arial"/>
                <w:lang w:val="fr-FR"/>
              </w:rPr>
            </w:pPr>
            <w:r w:rsidRPr="007F1538">
              <w:rPr>
                <w:rFonts w:cs="Arial"/>
                <w:lang w:val="fr-FR"/>
              </w:rPr>
              <w:t>40.061</w:t>
            </w:r>
          </w:p>
        </w:tc>
      </w:tr>
      <w:tr w:rsidR="00D22816" w:rsidRPr="007F1538" w:rsidTr="002E0B5E">
        <w:trPr>
          <w:cantSplit/>
        </w:trPr>
        <w:tc>
          <w:tcPr>
            <w:tcW w:w="993" w:type="dxa"/>
            <w:tcBorders>
              <w:left w:val="single" w:sz="4" w:space="0" w:color="auto"/>
              <w:bottom w:val="single" w:sz="4" w:space="0" w:color="auto"/>
              <w:right w:val="double" w:sz="4" w:space="0" w:color="auto"/>
            </w:tcBorders>
          </w:tcPr>
          <w:p w:rsidR="00D22816" w:rsidRPr="007F1538" w:rsidRDefault="008923F8" w:rsidP="00690B4E">
            <w:pPr>
              <w:spacing w:before="120"/>
              <w:jc w:val="center"/>
              <w:rPr>
                <w:rFonts w:cs="Arial"/>
                <w:lang w:val="fr-FR"/>
              </w:rPr>
            </w:pPr>
            <w:r>
              <w:rPr>
                <w:rFonts w:cs="Arial"/>
                <w:lang w:val="fr-FR"/>
              </w:rPr>
              <w:t>Bachelier</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15,7 %</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14,5 %</w:t>
            </w:r>
          </w:p>
        </w:tc>
        <w:tc>
          <w:tcPr>
            <w:tcW w:w="992" w:type="dxa"/>
            <w:tcBorders>
              <w:left w:val="single" w:sz="4" w:space="0" w:color="auto"/>
              <w:bottom w:val="single" w:sz="4" w:space="0" w:color="auto"/>
              <w:right w:val="single" w:sz="4" w:space="0" w:color="auto"/>
            </w:tcBorders>
            <w:vAlign w:val="bottom"/>
          </w:tcPr>
          <w:p w:rsidR="00D22816" w:rsidRPr="007F1538" w:rsidRDefault="00D22816" w:rsidP="00F62BA0">
            <w:pPr>
              <w:spacing w:before="120"/>
              <w:ind w:left="-70"/>
              <w:jc w:val="center"/>
              <w:rPr>
                <w:rFonts w:cs="Arial"/>
                <w:lang w:val="fr-FR"/>
              </w:rPr>
            </w:pPr>
            <w:r w:rsidRPr="007F1538">
              <w:rPr>
                <w:rFonts w:cs="Arial"/>
                <w:lang w:val="fr-FR"/>
              </w:rPr>
              <w:t>15,1 %</w:t>
            </w:r>
          </w:p>
        </w:tc>
        <w:tc>
          <w:tcPr>
            <w:tcW w:w="993" w:type="dxa"/>
            <w:tcBorders>
              <w:left w:val="single" w:sz="4" w:space="0" w:color="auto"/>
              <w:bottom w:val="single" w:sz="4" w:space="0" w:color="auto"/>
              <w:right w:val="single" w:sz="4" w:space="0" w:color="auto"/>
            </w:tcBorders>
            <w:vAlign w:val="bottom"/>
          </w:tcPr>
          <w:p w:rsidR="00D22816" w:rsidRPr="007F1538" w:rsidRDefault="00D22816" w:rsidP="00F62BA0">
            <w:pPr>
              <w:jc w:val="center"/>
              <w:rPr>
                <w:rFonts w:cs="Arial"/>
                <w:iCs/>
                <w:lang w:val="fr-FR"/>
              </w:rPr>
            </w:pPr>
            <w:r w:rsidRPr="007F1538">
              <w:rPr>
                <w:rFonts w:cs="Arial"/>
                <w:iCs/>
                <w:lang w:val="fr-FR"/>
              </w:rPr>
              <w:t>15,3%</w:t>
            </w:r>
          </w:p>
        </w:tc>
        <w:tc>
          <w:tcPr>
            <w:tcW w:w="992" w:type="dxa"/>
            <w:tcBorders>
              <w:left w:val="single" w:sz="4" w:space="0" w:color="auto"/>
              <w:bottom w:val="single" w:sz="4" w:space="0" w:color="auto"/>
              <w:right w:val="single" w:sz="4" w:space="0" w:color="auto"/>
            </w:tcBorders>
            <w:vAlign w:val="bottom"/>
          </w:tcPr>
          <w:p w:rsidR="00D22816" w:rsidRPr="007F1538" w:rsidRDefault="00D22816">
            <w:pPr>
              <w:jc w:val="center"/>
              <w:rPr>
                <w:rFonts w:cs="Arial"/>
                <w:iCs/>
                <w:lang w:val="fr-FR"/>
              </w:rPr>
            </w:pPr>
            <w:r w:rsidRPr="007F1538">
              <w:rPr>
                <w:rFonts w:cs="Arial"/>
                <w:iCs/>
                <w:lang w:val="fr-FR"/>
              </w:rPr>
              <w:t>16,9%</w:t>
            </w:r>
          </w:p>
        </w:tc>
        <w:tc>
          <w:tcPr>
            <w:tcW w:w="992" w:type="dxa"/>
            <w:tcBorders>
              <w:left w:val="single" w:sz="4" w:space="0" w:color="auto"/>
              <w:bottom w:val="single" w:sz="4" w:space="0" w:color="auto"/>
              <w:right w:val="single" w:sz="4" w:space="0" w:color="auto"/>
            </w:tcBorders>
            <w:shd w:val="clear" w:color="auto" w:fill="auto"/>
            <w:vAlign w:val="bottom"/>
          </w:tcPr>
          <w:p w:rsidR="00D22816" w:rsidRPr="007F1538" w:rsidRDefault="00D22816">
            <w:pPr>
              <w:jc w:val="center"/>
              <w:rPr>
                <w:rFonts w:cs="Arial"/>
                <w:lang w:val="fr-FR"/>
              </w:rPr>
            </w:pPr>
            <w:r w:rsidRPr="007F1538">
              <w:rPr>
                <w:rFonts w:cs="Arial"/>
                <w:lang w:val="fr-FR"/>
              </w:rPr>
              <w:t> </w:t>
            </w:r>
            <w:r w:rsidR="00BF76FC" w:rsidRPr="007F1538">
              <w:rPr>
                <w:rFonts w:cs="Arial"/>
                <w:lang w:val="fr-FR"/>
              </w:rPr>
              <w:t>21,1%</w:t>
            </w:r>
          </w:p>
        </w:tc>
        <w:tc>
          <w:tcPr>
            <w:tcW w:w="851" w:type="dxa"/>
            <w:tcBorders>
              <w:left w:val="single" w:sz="4" w:space="0" w:color="auto"/>
              <w:bottom w:val="single" w:sz="4" w:space="0" w:color="auto"/>
              <w:right w:val="single" w:sz="4" w:space="0" w:color="auto"/>
            </w:tcBorders>
            <w:shd w:val="clear" w:color="auto" w:fill="auto"/>
            <w:vAlign w:val="bottom"/>
          </w:tcPr>
          <w:p w:rsidR="00D22816" w:rsidRPr="007F1538" w:rsidRDefault="00BF76FC">
            <w:pPr>
              <w:jc w:val="center"/>
              <w:rPr>
                <w:rFonts w:cs="Arial"/>
                <w:lang w:val="fr-FR"/>
              </w:rPr>
            </w:pPr>
            <w:r w:rsidRPr="007F1538">
              <w:rPr>
                <w:rFonts w:cs="Arial"/>
                <w:lang w:val="fr-FR"/>
              </w:rPr>
              <w:t>2.449</w:t>
            </w:r>
          </w:p>
        </w:tc>
        <w:tc>
          <w:tcPr>
            <w:tcW w:w="1134" w:type="dxa"/>
            <w:tcBorders>
              <w:left w:val="single" w:sz="4" w:space="0" w:color="auto"/>
              <w:bottom w:val="single" w:sz="4" w:space="0" w:color="auto"/>
              <w:right w:val="single" w:sz="4" w:space="0" w:color="auto"/>
            </w:tcBorders>
            <w:vAlign w:val="bottom"/>
          </w:tcPr>
          <w:p w:rsidR="00D22816" w:rsidRPr="007F1538" w:rsidRDefault="00D22816">
            <w:pPr>
              <w:jc w:val="right"/>
              <w:rPr>
                <w:rFonts w:cs="Arial"/>
                <w:lang w:val="fr-FR"/>
              </w:rPr>
            </w:pPr>
            <w:r w:rsidRPr="007F1538">
              <w:rPr>
                <w:rFonts w:cs="Arial"/>
                <w:lang w:val="fr-FR"/>
              </w:rPr>
              <w:t>11.614</w:t>
            </w:r>
          </w:p>
        </w:tc>
      </w:tr>
      <w:tr w:rsidR="00D22816" w:rsidRPr="007F1538" w:rsidTr="002E0B5E">
        <w:trPr>
          <w:cantSplit/>
        </w:trPr>
        <w:tc>
          <w:tcPr>
            <w:tcW w:w="993" w:type="dxa"/>
            <w:tcBorders>
              <w:left w:val="single" w:sz="4" w:space="0" w:color="auto"/>
              <w:bottom w:val="single" w:sz="4" w:space="0" w:color="auto"/>
              <w:right w:val="double" w:sz="4" w:space="0" w:color="auto"/>
            </w:tcBorders>
          </w:tcPr>
          <w:p w:rsidR="00D22816" w:rsidRPr="007F1538" w:rsidRDefault="008923F8" w:rsidP="00690B4E">
            <w:pPr>
              <w:spacing w:before="120"/>
              <w:jc w:val="center"/>
              <w:rPr>
                <w:rFonts w:cs="Arial"/>
                <w:highlight w:val="yellow"/>
                <w:lang w:val="fr-FR"/>
              </w:rPr>
            </w:pPr>
            <w:r>
              <w:rPr>
                <w:rFonts w:cs="Arial"/>
                <w:lang w:val="fr-FR"/>
              </w:rPr>
              <w:t>Master</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24,1 %</w:t>
            </w:r>
          </w:p>
        </w:tc>
        <w:tc>
          <w:tcPr>
            <w:tcW w:w="992" w:type="dxa"/>
            <w:tcBorders>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lang w:val="fr-FR"/>
              </w:rPr>
            </w:pPr>
            <w:r w:rsidRPr="007F1538">
              <w:rPr>
                <w:rFonts w:cs="Arial"/>
                <w:lang w:val="fr-FR"/>
              </w:rPr>
              <w:t>26,4 %</w:t>
            </w:r>
          </w:p>
        </w:tc>
        <w:tc>
          <w:tcPr>
            <w:tcW w:w="992" w:type="dxa"/>
            <w:tcBorders>
              <w:left w:val="single" w:sz="4" w:space="0" w:color="auto"/>
              <w:bottom w:val="single" w:sz="4" w:space="0" w:color="auto"/>
              <w:right w:val="single" w:sz="4" w:space="0" w:color="auto"/>
            </w:tcBorders>
            <w:vAlign w:val="bottom"/>
          </w:tcPr>
          <w:p w:rsidR="00D22816" w:rsidRPr="007F1538" w:rsidRDefault="00D22816" w:rsidP="00F62BA0">
            <w:pPr>
              <w:spacing w:before="120"/>
              <w:ind w:left="-70"/>
              <w:jc w:val="center"/>
              <w:rPr>
                <w:rFonts w:cs="Arial"/>
                <w:lang w:val="fr-FR"/>
              </w:rPr>
            </w:pPr>
            <w:r w:rsidRPr="007F1538">
              <w:rPr>
                <w:rFonts w:cs="Arial"/>
                <w:lang w:val="fr-FR"/>
              </w:rPr>
              <w:t>21,1 %</w:t>
            </w:r>
          </w:p>
        </w:tc>
        <w:tc>
          <w:tcPr>
            <w:tcW w:w="993" w:type="dxa"/>
            <w:tcBorders>
              <w:left w:val="single" w:sz="4" w:space="0" w:color="auto"/>
              <w:bottom w:val="single" w:sz="4" w:space="0" w:color="auto"/>
              <w:right w:val="single" w:sz="4" w:space="0" w:color="auto"/>
            </w:tcBorders>
            <w:vAlign w:val="bottom"/>
          </w:tcPr>
          <w:p w:rsidR="00D22816" w:rsidRPr="007F1538" w:rsidRDefault="00D22816" w:rsidP="00F62BA0">
            <w:pPr>
              <w:jc w:val="center"/>
              <w:rPr>
                <w:rFonts w:cs="Arial"/>
                <w:iCs/>
                <w:lang w:val="fr-FR"/>
              </w:rPr>
            </w:pPr>
            <w:r w:rsidRPr="007F1538">
              <w:rPr>
                <w:rFonts w:cs="Arial"/>
                <w:iCs/>
                <w:lang w:val="fr-FR"/>
              </w:rPr>
              <w:t>19,3%</w:t>
            </w:r>
          </w:p>
        </w:tc>
        <w:tc>
          <w:tcPr>
            <w:tcW w:w="992" w:type="dxa"/>
            <w:tcBorders>
              <w:left w:val="single" w:sz="4" w:space="0" w:color="auto"/>
              <w:bottom w:val="single" w:sz="4" w:space="0" w:color="auto"/>
              <w:right w:val="single" w:sz="4" w:space="0" w:color="auto"/>
            </w:tcBorders>
            <w:vAlign w:val="bottom"/>
          </w:tcPr>
          <w:p w:rsidR="00D22816" w:rsidRPr="007F1538" w:rsidRDefault="00D22816">
            <w:pPr>
              <w:jc w:val="center"/>
              <w:rPr>
                <w:rFonts w:cs="Arial"/>
                <w:iCs/>
                <w:lang w:val="fr-FR"/>
              </w:rPr>
            </w:pPr>
            <w:r w:rsidRPr="007F1538">
              <w:rPr>
                <w:rFonts w:cs="Arial"/>
                <w:iCs/>
                <w:lang w:val="fr-FR"/>
              </w:rPr>
              <w:t>22,0%</w:t>
            </w:r>
          </w:p>
        </w:tc>
        <w:tc>
          <w:tcPr>
            <w:tcW w:w="992" w:type="dxa"/>
            <w:tcBorders>
              <w:left w:val="single" w:sz="4" w:space="0" w:color="auto"/>
              <w:bottom w:val="single" w:sz="4" w:space="0" w:color="auto"/>
              <w:right w:val="single" w:sz="4" w:space="0" w:color="auto"/>
            </w:tcBorders>
            <w:shd w:val="clear" w:color="auto" w:fill="auto"/>
            <w:vAlign w:val="bottom"/>
          </w:tcPr>
          <w:p w:rsidR="00D22816" w:rsidRPr="007F1538" w:rsidRDefault="00D22816">
            <w:pPr>
              <w:jc w:val="center"/>
              <w:rPr>
                <w:rFonts w:cs="Arial"/>
                <w:lang w:val="fr-FR"/>
              </w:rPr>
            </w:pPr>
            <w:r w:rsidRPr="007F1538">
              <w:rPr>
                <w:rFonts w:cs="Arial"/>
                <w:lang w:val="fr-FR"/>
              </w:rPr>
              <w:t> </w:t>
            </w:r>
            <w:r w:rsidR="00BF76FC" w:rsidRPr="007F1538">
              <w:rPr>
                <w:rFonts w:cs="Arial"/>
                <w:lang w:val="fr-FR"/>
              </w:rPr>
              <w:t>25,4%</w:t>
            </w:r>
          </w:p>
        </w:tc>
        <w:tc>
          <w:tcPr>
            <w:tcW w:w="851" w:type="dxa"/>
            <w:tcBorders>
              <w:left w:val="single" w:sz="4" w:space="0" w:color="auto"/>
              <w:bottom w:val="single" w:sz="4" w:space="0" w:color="auto"/>
              <w:right w:val="single" w:sz="4" w:space="0" w:color="auto"/>
            </w:tcBorders>
            <w:shd w:val="clear" w:color="auto" w:fill="auto"/>
            <w:vAlign w:val="bottom"/>
          </w:tcPr>
          <w:p w:rsidR="00D22816" w:rsidRPr="007F1538" w:rsidRDefault="00BF76FC">
            <w:pPr>
              <w:jc w:val="center"/>
              <w:rPr>
                <w:rFonts w:cs="Arial"/>
                <w:lang w:val="fr-FR"/>
              </w:rPr>
            </w:pPr>
            <w:r w:rsidRPr="007F1538">
              <w:rPr>
                <w:rFonts w:cs="Arial"/>
                <w:lang w:val="fr-FR"/>
              </w:rPr>
              <w:t>2.144</w:t>
            </w:r>
          </w:p>
        </w:tc>
        <w:tc>
          <w:tcPr>
            <w:tcW w:w="1134" w:type="dxa"/>
            <w:tcBorders>
              <w:left w:val="single" w:sz="4" w:space="0" w:color="auto"/>
              <w:bottom w:val="single" w:sz="4" w:space="0" w:color="auto"/>
              <w:right w:val="single" w:sz="4" w:space="0" w:color="auto"/>
            </w:tcBorders>
            <w:vAlign w:val="bottom"/>
          </w:tcPr>
          <w:p w:rsidR="00D22816" w:rsidRPr="007F1538" w:rsidRDefault="00D22816">
            <w:pPr>
              <w:jc w:val="right"/>
              <w:rPr>
                <w:rFonts w:cs="Arial"/>
                <w:lang w:val="fr-FR"/>
              </w:rPr>
            </w:pPr>
            <w:r w:rsidRPr="007F1538">
              <w:rPr>
                <w:rFonts w:cs="Arial"/>
                <w:lang w:val="fr-FR"/>
              </w:rPr>
              <w:t>8.427</w:t>
            </w:r>
          </w:p>
        </w:tc>
      </w:tr>
      <w:tr w:rsidR="00D22816" w:rsidRPr="007F1538" w:rsidTr="002E0B5E">
        <w:trPr>
          <w:cantSplit/>
        </w:trPr>
        <w:tc>
          <w:tcPr>
            <w:tcW w:w="993" w:type="dxa"/>
            <w:tcBorders>
              <w:top w:val="single" w:sz="4" w:space="0" w:color="auto"/>
              <w:left w:val="single" w:sz="4" w:space="0" w:color="auto"/>
              <w:bottom w:val="single" w:sz="4" w:space="0" w:color="auto"/>
              <w:right w:val="double" w:sz="4" w:space="0" w:color="auto"/>
            </w:tcBorders>
          </w:tcPr>
          <w:p w:rsidR="00D22816" w:rsidRPr="007F1538" w:rsidRDefault="00826136" w:rsidP="00690B4E">
            <w:pPr>
              <w:spacing w:before="120"/>
              <w:jc w:val="center"/>
              <w:rPr>
                <w:rFonts w:cs="Arial"/>
                <w:i/>
                <w:lang w:val="fr-FR"/>
              </w:rPr>
            </w:pPr>
            <w:r w:rsidRPr="00826136">
              <w:rPr>
                <w:rFonts w:cs="Arial"/>
                <w:i/>
                <w:lang w:val="fr-FR"/>
              </w:rPr>
              <w:t>Total</w:t>
            </w:r>
          </w:p>
        </w:tc>
        <w:tc>
          <w:tcPr>
            <w:tcW w:w="992" w:type="dxa"/>
            <w:tcBorders>
              <w:top w:val="single" w:sz="4" w:space="0" w:color="auto"/>
              <w:left w:val="single" w:sz="4" w:space="0" w:color="auto"/>
              <w:bottom w:val="single" w:sz="4" w:space="0" w:color="auto"/>
              <w:right w:val="single" w:sz="4" w:space="0" w:color="auto"/>
            </w:tcBorders>
            <w:vAlign w:val="center"/>
          </w:tcPr>
          <w:p w:rsidR="00D22816" w:rsidRPr="007F1538" w:rsidRDefault="00D22816" w:rsidP="00F62BA0">
            <w:pPr>
              <w:spacing w:before="120"/>
              <w:jc w:val="center"/>
              <w:rPr>
                <w:rFonts w:cs="Arial"/>
                <w:i/>
                <w:iCs/>
                <w:lang w:val="fr-FR"/>
              </w:rPr>
            </w:pPr>
            <w:r w:rsidRPr="007F1538">
              <w:rPr>
                <w:rFonts w:cs="Arial"/>
                <w:i/>
                <w:iCs/>
                <w:lang w:val="fr-FR"/>
              </w:rPr>
              <w:t>10,0 %</w:t>
            </w:r>
          </w:p>
        </w:tc>
        <w:tc>
          <w:tcPr>
            <w:tcW w:w="992" w:type="dxa"/>
            <w:tcBorders>
              <w:top w:val="single" w:sz="4" w:space="0" w:color="auto"/>
              <w:left w:val="single" w:sz="4" w:space="0" w:color="auto"/>
              <w:bottom w:val="single" w:sz="4" w:space="0" w:color="auto"/>
              <w:right w:val="single" w:sz="4" w:space="0" w:color="auto"/>
            </w:tcBorders>
            <w:vAlign w:val="center"/>
          </w:tcPr>
          <w:p w:rsidR="00D22816" w:rsidRPr="007F1538" w:rsidRDefault="00D22816" w:rsidP="00F62BA0">
            <w:pPr>
              <w:spacing w:before="120"/>
              <w:jc w:val="center"/>
              <w:rPr>
                <w:rFonts w:cs="Arial"/>
                <w:i/>
                <w:iCs/>
                <w:lang w:val="fr-FR"/>
              </w:rPr>
            </w:pPr>
            <w:r w:rsidRPr="007F1538">
              <w:rPr>
                <w:rFonts w:cs="Arial"/>
                <w:i/>
                <w:iCs/>
                <w:lang w:val="fr-FR"/>
              </w:rPr>
              <w:t>11,6 %</w:t>
            </w:r>
          </w:p>
        </w:tc>
        <w:tc>
          <w:tcPr>
            <w:tcW w:w="992" w:type="dxa"/>
            <w:tcBorders>
              <w:top w:val="single" w:sz="4" w:space="0" w:color="auto"/>
              <w:left w:val="single" w:sz="4" w:space="0" w:color="auto"/>
              <w:bottom w:val="single" w:sz="4" w:space="0" w:color="auto"/>
              <w:right w:val="single" w:sz="4" w:space="0" w:color="auto"/>
            </w:tcBorders>
            <w:vAlign w:val="center"/>
          </w:tcPr>
          <w:p w:rsidR="00D22816" w:rsidRPr="007F1538" w:rsidRDefault="00D22816" w:rsidP="00F62BA0">
            <w:pPr>
              <w:spacing w:before="120"/>
              <w:ind w:left="-70"/>
              <w:jc w:val="center"/>
              <w:rPr>
                <w:rFonts w:cs="Arial"/>
                <w:i/>
                <w:lang w:val="fr-FR"/>
              </w:rPr>
            </w:pPr>
            <w:r w:rsidRPr="007F1538">
              <w:rPr>
                <w:rFonts w:cs="Arial"/>
                <w:i/>
                <w:lang w:val="fr-FR"/>
              </w:rPr>
              <w:t>11,9 %</w:t>
            </w:r>
          </w:p>
        </w:tc>
        <w:tc>
          <w:tcPr>
            <w:tcW w:w="993" w:type="dxa"/>
            <w:tcBorders>
              <w:top w:val="single" w:sz="4" w:space="0" w:color="auto"/>
              <w:left w:val="single" w:sz="4" w:space="0" w:color="auto"/>
              <w:bottom w:val="single" w:sz="4" w:space="0" w:color="auto"/>
              <w:right w:val="single" w:sz="4" w:space="0" w:color="auto"/>
            </w:tcBorders>
            <w:vAlign w:val="bottom"/>
          </w:tcPr>
          <w:p w:rsidR="00D22816" w:rsidRPr="007F1538" w:rsidRDefault="00D22816" w:rsidP="00F62BA0">
            <w:pPr>
              <w:jc w:val="center"/>
              <w:rPr>
                <w:rFonts w:cs="Arial"/>
                <w:i/>
                <w:iCs/>
                <w:lang w:val="fr-FR"/>
              </w:rPr>
            </w:pPr>
            <w:r w:rsidRPr="007F1538">
              <w:rPr>
                <w:rFonts w:cs="Arial"/>
                <w:i/>
                <w:iCs/>
                <w:lang w:val="fr-FR"/>
              </w:rPr>
              <w:t>13,6%</w:t>
            </w:r>
          </w:p>
        </w:tc>
        <w:tc>
          <w:tcPr>
            <w:tcW w:w="992" w:type="dxa"/>
            <w:tcBorders>
              <w:top w:val="single" w:sz="4" w:space="0" w:color="auto"/>
              <w:left w:val="single" w:sz="4" w:space="0" w:color="auto"/>
              <w:bottom w:val="single" w:sz="4" w:space="0" w:color="auto"/>
              <w:right w:val="single" w:sz="4" w:space="0" w:color="auto"/>
            </w:tcBorders>
            <w:vAlign w:val="bottom"/>
          </w:tcPr>
          <w:p w:rsidR="00D22816" w:rsidRPr="007F1538" w:rsidRDefault="00D22816">
            <w:pPr>
              <w:jc w:val="center"/>
              <w:rPr>
                <w:rFonts w:cs="Arial"/>
                <w:i/>
                <w:iCs/>
                <w:lang w:val="fr-FR"/>
              </w:rPr>
            </w:pPr>
            <w:r w:rsidRPr="007F1538">
              <w:rPr>
                <w:rFonts w:cs="Arial"/>
                <w:i/>
                <w:iCs/>
                <w:lang w:val="fr-FR"/>
              </w:rPr>
              <w:t>14,5%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2816" w:rsidRPr="007F1538" w:rsidRDefault="00D22816">
            <w:pPr>
              <w:jc w:val="center"/>
              <w:rPr>
                <w:rFonts w:cs="Arial"/>
                <w:i/>
                <w:iCs/>
                <w:lang w:val="fr-FR"/>
              </w:rPr>
            </w:pPr>
            <w:r w:rsidRPr="007F1538">
              <w:rPr>
                <w:rFonts w:cs="Arial"/>
                <w:i/>
                <w:iCs/>
                <w:lang w:val="fr-FR"/>
              </w:rPr>
              <w:t> </w:t>
            </w:r>
            <w:r w:rsidR="00BF76FC" w:rsidRPr="007F1538">
              <w:rPr>
                <w:rFonts w:cs="Arial"/>
                <w:i/>
                <w:iCs/>
                <w:lang w:val="fr-FR"/>
              </w:rPr>
              <w:t>17,4%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22816" w:rsidRPr="007F1538" w:rsidRDefault="00D22816">
            <w:pPr>
              <w:jc w:val="center"/>
              <w:rPr>
                <w:rFonts w:cs="Arial"/>
                <w:i/>
                <w:lang w:val="fr-FR"/>
              </w:rPr>
            </w:pPr>
            <w:r w:rsidRPr="007F1538">
              <w:rPr>
                <w:rFonts w:cs="Arial"/>
                <w:i/>
                <w:lang w:val="fr-FR"/>
              </w:rPr>
              <w:t>1</w:t>
            </w:r>
            <w:r w:rsidR="00BF76FC" w:rsidRPr="007F1538">
              <w:rPr>
                <w:rFonts w:cs="Arial"/>
                <w:i/>
                <w:lang w:val="fr-FR"/>
              </w:rPr>
              <w:t>5.394</w:t>
            </w:r>
          </w:p>
        </w:tc>
        <w:tc>
          <w:tcPr>
            <w:tcW w:w="1134" w:type="dxa"/>
            <w:tcBorders>
              <w:top w:val="single" w:sz="4" w:space="0" w:color="auto"/>
              <w:left w:val="single" w:sz="4" w:space="0" w:color="auto"/>
              <w:bottom w:val="single" w:sz="4" w:space="0" w:color="auto"/>
              <w:right w:val="single" w:sz="4" w:space="0" w:color="auto"/>
            </w:tcBorders>
            <w:vAlign w:val="bottom"/>
          </w:tcPr>
          <w:p w:rsidR="00D22816" w:rsidRPr="007F1538" w:rsidRDefault="00D22816">
            <w:pPr>
              <w:jc w:val="right"/>
              <w:rPr>
                <w:rFonts w:cs="Arial"/>
                <w:i/>
                <w:lang w:val="fr-FR"/>
              </w:rPr>
            </w:pPr>
            <w:r w:rsidRPr="007F1538">
              <w:rPr>
                <w:rFonts w:cs="Arial"/>
                <w:i/>
                <w:lang w:val="fr-FR"/>
              </w:rPr>
              <w:t>88.714</w:t>
            </w:r>
          </w:p>
        </w:tc>
      </w:tr>
    </w:tbl>
    <w:p w:rsidR="003A1F70" w:rsidRPr="007F1538" w:rsidRDefault="003A1F70">
      <w:pPr>
        <w:tabs>
          <w:tab w:val="left" w:pos="540"/>
        </w:tabs>
        <w:rPr>
          <w:rFonts w:cs="Arial"/>
          <w:lang w:val="fr-FR"/>
        </w:rPr>
      </w:pPr>
    </w:p>
    <w:p w:rsidR="00A73AD2" w:rsidRPr="007F1538" w:rsidRDefault="00826136">
      <w:pPr>
        <w:tabs>
          <w:tab w:val="left" w:pos="540"/>
        </w:tabs>
        <w:rPr>
          <w:rFonts w:cs="Arial"/>
          <w:lang w:val="fr-FR"/>
        </w:rPr>
      </w:pPr>
      <w:r w:rsidRPr="00826136">
        <w:rPr>
          <w:rFonts w:cs="Arial"/>
          <w:lang w:val="fr-FR"/>
        </w:rPr>
        <w:t>Entre 12,5% et 19,2% de tous les travailleurs issus de toutes les catégories d’âge ont suivi une formation IFP.</w:t>
      </w:r>
      <w:r w:rsidR="00060951" w:rsidRPr="007F1538">
        <w:rPr>
          <w:rFonts w:cs="Arial"/>
          <w:lang w:val="fr-FR"/>
        </w:rPr>
        <w:t xml:space="preserve"> </w:t>
      </w:r>
      <w:r w:rsidRPr="00826136">
        <w:rPr>
          <w:rFonts w:cs="Arial"/>
          <w:lang w:val="fr-FR"/>
        </w:rPr>
        <w:t>On note un nombre élevé de personnes de plus de 45 ans.</w:t>
      </w:r>
    </w:p>
    <w:p w:rsidR="006D4B14" w:rsidRPr="007F1538" w:rsidRDefault="006D4B14">
      <w:pPr>
        <w:pStyle w:val="Header"/>
        <w:tabs>
          <w:tab w:val="clear" w:pos="4536"/>
          <w:tab w:val="clear" w:pos="9072"/>
        </w:tabs>
        <w:spacing w:after="120"/>
        <w:rPr>
          <w:rFonts w:cs="Arial"/>
          <w:sz w:val="20"/>
          <w:szCs w:val="20"/>
          <w:lang w:val="fr-FR"/>
        </w:rPr>
      </w:pPr>
    </w:p>
    <w:p w:rsidR="00A73AD2" w:rsidRPr="007F1538" w:rsidRDefault="007A50E0" w:rsidP="00826136">
      <w:pPr>
        <w:pStyle w:val="Header"/>
        <w:tabs>
          <w:tab w:val="clear" w:pos="4536"/>
          <w:tab w:val="clear" w:pos="9072"/>
        </w:tabs>
        <w:spacing w:after="120"/>
        <w:rPr>
          <w:rFonts w:cs="Arial"/>
          <w:sz w:val="20"/>
          <w:szCs w:val="20"/>
          <w:lang w:val="fr-FR"/>
        </w:rPr>
      </w:pPr>
      <w:r>
        <w:rPr>
          <w:rFonts w:cs="Arial"/>
          <w:sz w:val="20"/>
          <w:szCs w:val="20"/>
          <w:lang w:val="fr-FR"/>
        </w:rPr>
        <w:t>Tableau 19</w:t>
      </w:r>
      <w:r w:rsidR="00826136" w:rsidRPr="00826136">
        <w:rPr>
          <w:rFonts w:cs="Arial"/>
          <w:sz w:val="20"/>
          <w:szCs w:val="20"/>
          <w:lang w:val="fr-FR"/>
        </w:rPr>
        <w:t> : couverture des travailleurs par catégorie d’âge, en % du nombre de travailleurs</w:t>
      </w:r>
    </w:p>
    <w:tbl>
      <w:tblPr>
        <w:tblW w:w="893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993"/>
        <w:gridCol w:w="992"/>
        <w:gridCol w:w="992"/>
        <w:gridCol w:w="992"/>
        <w:gridCol w:w="993"/>
        <w:gridCol w:w="992"/>
        <w:gridCol w:w="992"/>
        <w:gridCol w:w="851"/>
        <w:gridCol w:w="1134"/>
      </w:tblGrid>
      <w:tr w:rsidR="00D22816" w:rsidRPr="007F1538" w:rsidTr="003A1F70">
        <w:tc>
          <w:tcPr>
            <w:tcW w:w="993" w:type="dxa"/>
            <w:tcBorders>
              <w:top w:val="single" w:sz="4" w:space="0" w:color="auto"/>
              <w:left w:val="single" w:sz="4" w:space="0" w:color="auto"/>
              <w:bottom w:val="double" w:sz="4" w:space="0" w:color="auto"/>
              <w:right w:val="double" w:sz="4" w:space="0" w:color="auto"/>
            </w:tcBorders>
            <w:vAlign w:val="center"/>
          </w:tcPr>
          <w:p w:rsidR="00D22816" w:rsidRPr="007F1538" w:rsidRDefault="00826136" w:rsidP="00690B4E">
            <w:pPr>
              <w:spacing w:before="120"/>
              <w:jc w:val="center"/>
              <w:rPr>
                <w:rFonts w:cs="Arial"/>
                <w:lang w:val="fr-FR"/>
              </w:rPr>
            </w:pPr>
            <w:r w:rsidRPr="00826136">
              <w:rPr>
                <w:rFonts w:cs="Arial"/>
                <w:lang w:val="fr-FR"/>
              </w:rPr>
              <w:t>Age</w:t>
            </w:r>
          </w:p>
        </w:tc>
        <w:tc>
          <w:tcPr>
            <w:tcW w:w="992" w:type="dxa"/>
            <w:tcBorders>
              <w:top w:val="single" w:sz="4" w:space="0" w:color="auto"/>
              <w:left w:val="single" w:sz="4" w:space="0" w:color="auto"/>
              <w:bottom w:val="double" w:sz="4" w:space="0" w:color="auto"/>
              <w:right w:val="single" w:sz="4" w:space="0" w:color="auto"/>
            </w:tcBorders>
          </w:tcPr>
          <w:p w:rsidR="00D22816" w:rsidRPr="007F1538" w:rsidRDefault="002E4802" w:rsidP="00690B4E">
            <w:pPr>
              <w:spacing w:before="120"/>
              <w:jc w:val="center"/>
              <w:rPr>
                <w:rFonts w:cs="Arial"/>
                <w:lang w:val="fr-FR"/>
              </w:rPr>
            </w:pPr>
            <w:r>
              <w:rPr>
                <w:rFonts w:cs="Arial"/>
                <w:lang w:val="fr-FR"/>
              </w:rPr>
              <w:t>2004</w:t>
            </w:r>
          </w:p>
        </w:tc>
        <w:tc>
          <w:tcPr>
            <w:tcW w:w="992" w:type="dxa"/>
            <w:tcBorders>
              <w:top w:val="single" w:sz="4" w:space="0" w:color="auto"/>
              <w:left w:val="single" w:sz="4" w:space="0" w:color="auto"/>
              <w:bottom w:val="double" w:sz="4" w:space="0" w:color="auto"/>
              <w:right w:val="single" w:sz="4" w:space="0" w:color="auto"/>
            </w:tcBorders>
          </w:tcPr>
          <w:p w:rsidR="00D22816" w:rsidRPr="007F1538" w:rsidRDefault="002E4802" w:rsidP="00690B4E">
            <w:pPr>
              <w:spacing w:before="120"/>
              <w:jc w:val="center"/>
              <w:rPr>
                <w:rFonts w:cs="Arial"/>
                <w:lang w:val="fr-FR"/>
              </w:rPr>
            </w:pPr>
            <w:r>
              <w:rPr>
                <w:rFonts w:cs="Arial"/>
                <w:lang w:val="fr-FR"/>
              </w:rPr>
              <w:t>2005</w:t>
            </w:r>
          </w:p>
        </w:tc>
        <w:tc>
          <w:tcPr>
            <w:tcW w:w="992" w:type="dxa"/>
            <w:tcBorders>
              <w:top w:val="single" w:sz="4" w:space="0" w:color="auto"/>
              <w:left w:val="single" w:sz="4" w:space="0" w:color="auto"/>
              <w:bottom w:val="double" w:sz="4" w:space="0" w:color="auto"/>
              <w:right w:val="single" w:sz="4" w:space="0" w:color="auto"/>
            </w:tcBorders>
          </w:tcPr>
          <w:p w:rsidR="00D22816" w:rsidRPr="007F1538" w:rsidRDefault="002E4802" w:rsidP="00690B4E">
            <w:pPr>
              <w:spacing w:before="120"/>
              <w:jc w:val="center"/>
              <w:rPr>
                <w:rFonts w:cs="Arial"/>
                <w:lang w:val="fr-FR"/>
              </w:rPr>
            </w:pPr>
            <w:r>
              <w:rPr>
                <w:rFonts w:cs="Arial"/>
                <w:lang w:val="fr-FR"/>
              </w:rPr>
              <w:t>2006</w:t>
            </w:r>
          </w:p>
        </w:tc>
        <w:tc>
          <w:tcPr>
            <w:tcW w:w="993" w:type="dxa"/>
            <w:tcBorders>
              <w:top w:val="single" w:sz="4" w:space="0" w:color="auto"/>
              <w:left w:val="single" w:sz="4" w:space="0" w:color="auto"/>
              <w:bottom w:val="double" w:sz="4" w:space="0" w:color="auto"/>
              <w:right w:val="single" w:sz="4" w:space="0" w:color="auto"/>
            </w:tcBorders>
            <w:vAlign w:val="center"/>
          </w:tcPr>
          <w:p w:rsidR="00D22816" w:rsidRPr="007F1538" w:rsidRDefault="002E4802" w:rsidP="00690B4E">
            <w:pPr>
              <w:spacing w:before="120"/>
              <w:jc w:val="center"/>
              <w:rPr>
                <w:rFonts w:cs="Arial"/>
                <w:lang w:val="fr-FR"/>
              </w:rPr>
            </w:pPr>
            <w:r>
              <w:rPr>
                <w:rFonts w:cs="Arial"/>
                <w:lang w:val="fr-FR"/>
              </w:rPr>
              <w:t>2007</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2E4802" w:rsidP="00690B4E">
            <w:pPr>
              <w:spacing w:before="120"/>
              <w:jc w:val="center"/>
              <w:rPr>
                <w:rFonts w:cs="Arial"/>
                <w:lang w:val="fr-FR"/>
              </w:rPr>
            </w:pPr>
            <w:r>
              <w:rPr>
                <w:rFonts w:cs="Arial"/>
                <w:lang w:val="fr-FR"/>
              </w:rPr>
              <w:t>2008</w:t>
            </w:r>
          </w:p>
        </w:tc>
        <w:tc>
          <w:tcPr>
            <w:tcW w:w="992" w:type="dxa"/>
            <w:tcBorders>
              <w:top w:val="single" w:sz="4" w:space="0" w:color="auto"/>
              <w:left w:val="single" w:sz="4" w:space="0" w:color="auto"/>
              <w:bottom w:val="double" w:sz="4" w:space="0" w:color="auto"/>
              <w:right w:val="single" w:sz="4" w:space="0" w:color="auto"/>
            </w:tcBorders>
            <w:vAlign w:val="center"/>
          </w:tcPr>
          <w:p w:rsidR="00D22816" w:rsidRPr="007F1538" w:rsidRDefault="002E4802" w:rsidP="00690B4E">
            <w:pPr>
              <w:spacing w:before="120"/>
              <w:jc w:val="center"/>
              <w:rPr>
                <w:rFonts w:cs="Arial"/>
                <w:lang w:val="fr-FR"/>
              </w:rPr>
            </w:pPr>
            <w:r>
              <w:rPr>
                <w:rFonts w:cs="Arial"/>
                <w:lang w:val="fr-FR"/>
              </w:rPr>
              <w:t>2009</w:t>
            </w:r>
          </w:p>
        </w:tc>
        <w:tc>
          <w:tcPr>
            <w:tcW w:w="851"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jc w:val="center"/>
              <w:rPr>
                <w:rFonts w:cs="Arial"/>
                <w:lang w:val="fr-FR"/>
              </w:rPr>
            </w:pPr>
            <w:r w:rsidRPr="00826136">
              <w:rPr>
                <w:rFonts w:cs="Arial"/>
                <w:lang w:val="fr-FR"/>
              </w:rPr>
              <w:t>Travailleurs</w:t>
            </w:r>
          </w:p>
        </w:tc>
        <w:tc>
          <w:tcPr>
            <w:tcW w:w="1134" w:type="dxa"/>
            <w:tcBorders>
              <w:top w:val="single" w:sz="4" w:space="0" w:color="auto"/>
              <w:left w:val="single" w:sz="4" w:space="0" w:color="auto"/>
              <w:bottom w:val="double" w:sz="4" w:space="0" w:color="auto"/>
              <w:right w:val="single" w:sz="4" w:space="0" w:color="auto"/>
            </w:tcBorders>
            <w:vAlign w:val="center"/>
          </w:tcPr>
          <w:p w:rsidR="00D22816" w:rsidRPr="007F1538" w:rsidRDefault="00826136" w:rsidP="00690B4E">
            <w:pPr>
              <w:spacing w:before="120"/>
              <w:jc w:val="center"/>
              <w:rPr>
                <w:rFonts w:cs="Arial"/>
                <w:lang w:val="fr-FR"/>
              </w:rPr>
            </w:pPr>
            <w:r w:rsidRPr="00826136">
              <w:rPr>
                <w:rFonts w:cs="Arial"/>
                <w:lang w:val="fr-FR"/>
              </w:rPr>
              <w:t>Population</w:t>
            </w:r>
          </w:p>
        </w:tc>
      </w:tr>
      <w:tr w:rsidR="00F565D9" w:rsidRPr="007F1538" w:rsidTr="003A1F70">
        <w:tc>
          <w:tcPr>
            <w:tcW w:w="993" w:type="dxa"/>
            <w:tcBorders>
              <w:left w:val="single" w:sz="4" w:space="0" w:color="auto"/>
              <w:bottom w:val="single" w:sz="4" w:space="0" w:color="auto"/>
              <w:right w:val="double" w:sz="4" w:space="0" w:color="auto"/>
            </w:tcBorders>
          </w:tcPr>
          <w:p w:rsidR="00F565D9" w:rsidRPr="007F1538" w:rsidRDefault="00826136" w:rsidP="00690B4E">
            <w:pPr>
              <w:spacing w:before="120"/>
              <w:jc w:val="center"/>
              <w:rPr>
                <w:rFonts w:cs="Arial"/>
                <w:lang w:val="fr-FR"/>
              </w:rPr>
            </w:pPr>
            <w:r w:rsidRPr="00826136">
              <w:rPr>
                <w:rFonts w:cs="Arial"/>
                <w:lang w:val="fr-FR"/>
              </w:rPr>
              <w:t>&lt; 30 ans</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8,6 %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9,4 %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10,0 %</w:t>
            </w:r>
          </w:p>
        </w:tc>
        <w:tc>
          <w:tcPr>
            <w:tcW w:w="993" w:type="dxa"/>
            <w:tcBorders>
              <w:left w:val="single" w:sz="4" w:space="0" w:color="auto"/>
              <w:bottom w:val="single" w:sz="4" w:space="0" w:color="auto"/>
              <w:right w:val="single" w:sz="4" w:space="0" w:color="auto"/>
            </w:tcBorders>
            <w:vAlign w:val="bottom"/>
          </w:tcPr>
          <w:p w:rsidR="00F565D9" w:rsidRPr="007F1538" w:rsidRDefault="00F565D9" w:rsidP="00F62BA0">
            <w:pPr>
              <w:jc w:val="center"/>
              <w:rPr>
                <w:rFonts w:cs="Arial"/>
                <w:iCs/>
                <w:lang w:val="fr-FR"/>
              </w:rPr>
            </w:pPr>
            <w:r w:rsidRPr="007F1538">
              <w:rPr>
                <w:rFonts w:cs="Arial"/>
                <w:iCs/>
                <w:lang w:val="fr-FR"/>
              </w:rPr>
              <w:t>12,7%</w:t>
            </w:r>
          </w:p>
        </w:tc>
        <w:tc>
          <w:tcPr>
            <w:tcW w:w="992" w:type="dxa"/>
            <w:tcBorders>
              <w:left w:val="single" w:sz="4" w:space="0" w:color="auto"/>
              <w:bottom w:val="single" w:sz="4" w:space="0" w:color="auto"/>
              <w:right w:val="single" w:sz="4" w:space="0" w:color="auto"/>
            </w:tcBorders>
            <w:vAlign w:val="bottom"/>
          </w:tcPr>
          <w:p w:rsidR="00F565D9" w:rsidRPr="007F1538" w:rsidRDefault="00F565D9">
            <w:pPr>
              <w:jc w:val="center"/>
              <w:rPr>
                <w:rFonts w:cs="Arial"/>
                <w:iCs/>
                <w:lang w:val="fr-FR"/>
              </w:rPr>
            </w:pPr>
            <w:r w:rsidRPr="007F1538">
              <w:rPr>
                <w:rFonts w:cs="Arial"/>
                <w:iCs/>
                <w:lang w:val="fr-FR"/>
              </w:rPr>
              <w:t>12,1%</w:t>
            </w:r>
          </w:p>
        </w:tc>
        <w:tc>
          <w:tcPr>
            <w:tcW w:w="992" w:type="dxa"/>
            <w:tcBorders>
              <w:left w:val="single" w:sz="4" w:space="0" w:color="auto"/>
              <w:bottom w:val="single" w:sz="4" w:space="0" w:color="auto"/>
              <w:right w:val="single" w:sz="4" w:space="0" w:color="auto"/>
            </w:tcBorders>
            <w:shd w:val="clear" w:color="auto" w:fill="auto"/>
            <w:vAlign w:val="bottom"/>
          </w:tcPr>
          <w:p w:rsidR="00F565D9" w:rsidRPr="007F1538" w:rsidRDefault="003A1F70">
            <w:pPr>
              <w:jc w:val="center"/>
              <w:rPr>
                <w:rFonts w:cs="Arial"/>
                <w:lang w:val="fr-FR"/>
              </w:rPr>
            </w:pPr>
            <w:r w:rsidRPr="007F1538">
              <w:rPr>
                <w:rFonts w:cs="Arial"/>
                <w:lang w:val="fr-FR"/>
              </w:rPr>
              <w:t>12,5%</w:t>
            </w:r>
          </w:p>
        </w:tc>
        <w:tc>
          <w:tcPr>
            <w:tcW w:w="851" w:type="dxa"/>
            <w:tcBorders>
              <w:left w:val="single" w:sz="4" w:space="0" w:color="auto"/>
              <w:bottom w:val="single" w:sz="4" w:space="0" w:color="auto"/>
              <w:right w:val="single" w:sz="4" w:space="0" w:color="auto"/>
            </w:tcBorders>
            <w:shd w:val="clear" w:color="auto" w:fill="auto"/>
            <w:vAlign w:val="bottom"/>
          </w:tcPr>
          <w:p w:rsidR="00F565D9" w:rsidRPr="007F1538" w:rsidRDefault="000770B5">
            <w:pPr>
              <w:rPr>
                <w:rFonts w:cs="Arial"/>
                <w:lang w:val="fr-FR"/>
              </w:rPr>
            </w:pPr>
            <w:r w:rsidRPr="007F1538">
              <w:rPr>
                <w:rFonts w:cs="Arial"/>
                <w:lang w:val="fr-FR"/>
              </w:rPr>
              <w:t>2.771</w:t>
            </w:r>
          </w:p>
        </w:tc>
        <w:tc>
          <w:tcPr>
            <w:tcW w:w="1134" w:type="dxa"/>
            <w:tcBorders>
              <w:left w:val="single" w:sz="4" w:space="0" w:color="auto"/>
              <w:bottom w:val="single" w:sz="4" w:space="0" w:color="auto"/>
              <w:right w:val="single" w:sz="4" w:space="0" w:color="auto"/>
            </w:tcBorders>
            <w:vAlign w:val="bottom"/>
          </w:tcPr>
          <w:p w:rsidR="00F565D9" w:rsidRPr="007F1538" w:rsidRDefault="00F565D9">
            <w:pPr>
              <w:rPr>
                <w:rFonts w:cs="Arial"/>
                <w:lang w:val="fr-FR"/>
              </w:rPr>
            </w:pPr>
            <w:r w:rsidRPr="007F1538">
              <w:rPr>
                <w:rFonts w:cs="Arial"/>
                <w:lang w:val="fr-FR"/>
              </w:rPr>
              <w:t>22.151</w:t>
            </w:r>
          </w:p>
        </w:tc>
      </w:tr>
      <w:tr w:rsidR="00F565D9" w:rsidRPr="007F1538" w:rsidTr="003A1F70">
        <w:tc>
          <w:tcPr>
            <w:tcW w:w="993" w:type="dxa"/>
            <w:tcBorders>
              <w:left w:val="single" w:sz="4" w:space="0" w:color="auto"/>
              <w:bottom w:val="single" w:sz="4" w:space="0" w:color="auto"/>
              <w:right w:val="double" w:sz="4" w:space="0" w:color="auto"/>
            </w:tcBorders>
          </w:tcPr>
          <w:p w:rsidR="00F565D9" w:rsidRPr="007F1538" w:rsidRDefault="00826136" w:rsidP="00690B4E">
            <w:pPr>
              <w:spacing w:before="120"/>
              <w:jc w:val="center"/>
              <w:rPr>
                <w:rFonts w:cs="Arial"/>
                <w:lang w:val="fr-FR"/>
              </w:rPr>
            </w:pPr>
            <w:r w:rsidRPr="00826136">
              <w:rPr>
                <w:rFonts w:cs="Arial"/>
                <w:lang w:val="fr-FR"/>
              </w:rPr>
              <w:t>30 – 44 ans</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10,7 %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12,0 %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13,4 %</w:t>
            </w:r>
          </w:p>
        </w:tc>
        <w:tc>
          <w:tcPr>
            <w:tcW w:w="993" w:type="dxa"/>
            <w:tcBorders>
              <w:left w:val="single" w:sz="4" w:space="0" w:color="auto"/>
              <w:bottom w:val="single" w:sz="4" w:space="0" w:color="auto"/>
              <w:right w:val="single" w:sz="4" w:space="0" w:color="auto"/>
            </w:tcBorders>
            <w:vAlign w:val="bottom"/>
          </w:tcPr>
          <w:p w:rsidR="00F565D9" w:rsidRPr="007F1538" w:rsidRDefault="00F565D9" w:rsidP="00F62BA0">
            <w:pPr>
              <w:jc w:val="center"/>
              <w:rPr>
                <w:rFonts w:cs="Arial"/>
                <w:iCs/>
                <w:lang w:val="fr-FR"/>
              </w:rPr>
            </w:pPr>
            <w:r w:rsidRPr="007F1538">
              <w:rPr>
                <w:rFonts w:cs="Arial"/>
                <w:iCs/>
                <w:lang w:val="fr-FR"/>
              </w:rPr>
              <w:t>14,4%</w:t>
            </w:r>
          </w:p>
        </w:tc>
        <w:tc>
          <w:tcPr>
            <w:tcW w:w="992" w:type="dxa"/>
            <w:tcBorders>
              <w:left w:val="single" w:sz="4" w:space="0" w:color="auto"/>
              <w:bottom w:val="single" w:sz="4" w:space="0" w:color="auto"/>
              <w:right w:val="single" w:sz="4" w:space="0" w:color="auto"/>
            </w:tcBorders>
            <w:vAlign w:val="bottom"/>
          </w:tcPr>
          <w:p w:rsidR="00F565D9" w:rsidRPr="007F1538" w:rsidRDefault="00F565D9">
            <w:pPr>
              <w:jc w:val="center"/>
              <w:rPr>
                <w:rFonts w:cs="Arial"/>
                <w:iCs/>
                <w:lang w:val="fr-FR"/>
              </w:rPr>
            </w:pPr>
            <w:r w:rsidRPr="007F1538">
              <w:rPr>
                <w:rFonts w:cs="Arial"/>
                <w:iCs/>
                <w:lang w:val="fr-FR"/>
              </w:rPr>
              <w:t>15,7%</w:t>
            </w:r>
          </w:p>
        </w:tc>
        <w:tc>
          <w:tcPr>
            <w:tcW w:w="992" w:type="dxa"/>
            <w:tcBorders>
              <w:left w:val="single" w:sz="4" w:space="0" w:color="auto"/>
              <w:bottom w:val="single" w:sz="4" w:space="0" w:color="auto"/>
              <w:right w:val="single" w:sz="4" w:space="0" w:color="auto"/>
            </w:tcBorders>
            <w:shd w:val="clear" w:color="auto" w:fill="auto"/>
            <w:vAlign w:val="bottom"/>
          </w:tcPr>
          <w:p w:rsidR="00F565D9" w:rsidRPr="007F1538" w:rsidRDefault="003A1F70">
            <w:pPr>
              <w:jc w:val="center"/>
              <w:rPr>
                <w:rFonts w:cs="Arial"/>
                <w:lang w:val="fr-FR"/>
              </w:rPr>
            </w:pPr>
            <w:r w:rsidRPr="007F1538">
              <w:rPr>
                <w:rFonts w:cs="Arial"/>
                <w:lang w:val="fr-FR"/>
              </w:rPr>
              <w:t>18,8%</w:t>
            </w:r>
          </w:p>
        </w:tc>
        <w:tc>
          <w:tcPr>
            <w:tcW w:w="851" w:type="dxa"/>
            <w:tcBorders>
              <w:left w:val="single" w:sz="4" w:space="0" w:color="auto"/>
              <w:bottom w:val="single" w:sz="4" w:space="0" w:color="auto"/>
              <w:right w:val="single" w:sz="4" w:space="0" w:color="auto"/>
            </w:tcBorders>
            <w:shd w:val="clear" w:color="auto" w:fill="auto"/>
            <w:vAlign w:val="bottom"/>
          </w:tcPr>
          <w:p w:rsidR="00F565D9" w:rsidRPr="007F1538" w:rsidRDefault="000770B5">
            <w:pPr>
              <w:rPr>
                <w:rFonts w:cs="Arial"/>
                <w:lang w:val="fr-FR"/>
              </w:rPr>
            </w:pPr>
            <w:r w:rsidRPr="007F1538">
              <w:rPr>
                <w:rFonts w:cs="Arial"/>
                <w:lang w:val="fr-FR"/>
              </w:rPr>
              <w:t>7.716</w:t>
            </w:r>
          </w:p>
        </w:tc>
        <w:tc>
          <w:tcPr>
            <w:tcW w:w="1134" w:type="dxa"/>
            <w:tcBorders>
              <w:left w:val="single" w:sz="4" w:space="0" w:color="auto"/>
              <w:bottom w:val="single" w:sz="4" w:space="0" w:color="auto"/>
              <w:right w:val="single" w:sz="4" w:space="0" w:color="auto"/>
            </w:tcBorders>
            <w:vAlign w:val="bottom"/>
          </w:tcPr>
          <w:p w:rsidR="00F565D9" w:rsidRPr="007F1538" w:rsidRDefault="00F565D9">
            <w:pPr>
              <w:rPr>
                <w:rFonts w:cs="Arial"/>
                <w:lang w:val="fr-FR"/>
              </w:rPr>
            </w:pPr>
            <w:r w:rsidRPr="007F1538">
              <w:rPr>
                <w:rFonts w:cs="Arial"/>
                <w:lang w:val="fr-FR"/>
              </w:rPr>
              <w:t>41.030</w:t>
            </w:r>
          </w:p>
        </w:tc>
      </w:tr>
      <w:tr w:rsidR="00F565D9" w:rsidRPr="007F1538" w:rsidTr="003A1F70">
        <w:tc>
          <w:tcPr>
            <w:tcW w:w="993" w:type="dxa"/>
            <w:tcBorders>
              <w:left w:val="single" w:sz="4" w:space="0" w:color="auto"/>
              <w:bottom w:val="single" w:sz="4" w:space="0" w:color="auto"/>
              <w:right w:val="double" w:sz="4" w:space="0" w:color="auto"/>
            </w:tcBorders>
          </w:tcPr>
          <w:p w:rsidR="00F565D9" w:rsidRPr="007F1538" w:rsidRDefault="00826136" w:rsidP="00690B4E">
            <w:pPr>
              <w:spacing w:before="120"/>
              <w:jc w:val="center"/>
              <w:rPr>
                <w:rFonts w:cs="Arial"/>
                <w:lang w:val="fr-FR"/>
              </w:rPr>
            </w:pPr>
            <w:r w:rsidRPr="00826136">
              <w:rPr>
                <w:rFonts w:cs="Arial"/>
                <w:lang w:val="fr-FR"/>
              </w:rPr>
              <w:t>45 ans et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10,2 %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13,4 %</w:t>
            </w:r>
          </w:p>
        </w:tc>
        <w:tc>
          <w:tcPr>
            <w:tcW w:w="992" w:type="dxa"/>
            <w:tcBorders>
              <w:left w:val="single" w:sz="4" w:space="0" w:color="auto"/>
              <w:bottom w:val="single" w:sz="4" w:space="0" w:color="auto"/>
              <w:right w:val="single" w:sz="4" w:space="0" w:color="auto"/>
            </w:tcBorders>
          </w:tcPr>
          <w:p w:rsidR="00F565D9" w:rsidRPr="007F1538" w:rsidRDefault="00F565D9" w:rsidP="00F62BA0">
            <w:pPr>
              <w:spacing w:before="120"/>
              <w:jc w:val="center"/>
              <w:rPr>
                <w:rFonts w:cs="Arial"/>
                <w:lang w:val="fr-FR"/>
              </w:rPr>
            </w:pPr>
            <w:r w:rsidRPr="007F1538">
              <w:rPr>
                <w:rFonts w:cs="Arial"/>
                <w:lang w:val="fr-FR"/>
              </w:rPr>
              <w:t>11,2 %</w:t>
            </w:r>
          </w:p>
        </w:tc>
        <w:tc>
          <w:tcPr>
            <w:tcW w:w="993" w:type="dxa"/>
            <w:tcBorders>
              <w:left w:val="single" w:sz="4" w:space="0" w:color="auto"/>
              <w:bottom w:val="single" w:sz="4" w:space="0" w:color="auto"/>
              <w:right w:val="single" w:sz="4" w:space="0" w:color="auto"/>
            </w:tcBorders>
            <w:vAlign w:val="bottom"/>
          </w:tcPr>
          <w:p w:rsidR="00F565D9" w:rsidRPr="007F1538" w:rsidRDefault="00F565D9" w:rsidP="00F62BA0">
            <w:pPr>
              <w:jc w:val="center"/>
              <w:rPr>
                <w:rFonts w:cs="Arial"/>
                <w:iCs/>
                <w:lang w:val="fr-FR"/>
              </w:rPr>
            </w:pPr>
            <w:r w:rsidRPr="007F1538">
              <w:rPr>
                <w:rFonts w:cs="Arial"/>
                <w:iCs/>
                <w:lang w:val="fr-FR"/>
              </w:rPr>
              <w:t>13,1%</w:t>
            </w:r>
          </w:p>
        </w:tc>
        <w:tc>
          <w:tcPr>
            <w:tcW w:w="992" w:type="dxa"/>
            <w:tcBorders>
              <w:left w:val="single" w:sz="4" w:space="0" w:color="auto"/>
              <w:bottom w:val="single" w:sz="4" w:space="0" w:color="auto"/>
              <w:right w:val="single" w:sz="4" w:space="0" w:color="auto"/>
            </w:tcBorders>
            <w:vAlign w:val="bottom"/>
          </w:tcPr>
          <w:p w:rsidR="00F565D9" w:rsidRPr="007F1538" w:rsidRDefault="00F565D9">
            <w:pPr>
              <w:jc w:val="center"/>
              <w:rPr>
                <w:rFonts w:cs="Arial"/>
                <w:iCs/>
                <w:lang w:val="fr-FR"/>
              </w:rPr>
            </w:pPr>
            <w:r w:rsidRPr="007F1538">
              <w:rPr>
                <w:rFonts w:cs="Arial"/>
                <w:iCs/>
                <w:lang w:val="fr-FR"/>
              </w:rPr>
              <w:t>14,7%</w:t>
            </w:r>
          </w:p>
        </w:tc>
        <w:tc>
          <w:tcPr>
            <w:tcW w:w="992" w:type="dxa"/>
            <w:tcBorders>
              <w:left w:val="single" w:sz="4" w:space="0" w:color="auto"/>
              <w:bottom w:val="single" w:sz="4" w:space="0" w:color="auto"/>
              <w:right w:val="single" w:sz="4" w:space="0" w:color="auto"/>
            </w:tcBorders>
            <w:shd w:val="clear" w:color="auto" w:fill="auto"/>
            <w:vAlign w:val="bottom"/>
          </w:tcPr>
          <w:p w:rsidR="00F565D9" w:rsidRPr="007F1538" w:rsidRDefault="003A1F70">
            <w:pPr>
              <w:jc w:val="center"/>
              <w:rPr>
                <w:rFonts w:cs="Arial"/>
                <w:lang w:val="fr-FR"/>
              </w:rPr>
            </w:pPr>
            <w:r w:rsidRPr="007F1538">
              <w:rPr>
                <w:rFonts w:cs="Arial"/>
                <w:lang w:val="fr-FR"/>
              </w:rPr>
              <w:t>19,2%</w:t>
            </w:r>
          </w:p>
        </w:tc>
        <w:tc>
          <w:tcPr>
            <w:tcW w:w="851" w:type="dxa"/>
            <w:tcBorders>
              <w:left w:val="single" w:sz="4" w:space="0" w:color="auto"/>
              <w:bottom w:val="single" w:sz="4" w:space="0" w:color="auto"/>
              <w:right w:val="single" w:sz="4" w:space="0" w:color="auto"/>
            </w:tcBorders>
            <w:shd w:val="clear" w:color="auto" w:fill="auto"/>
            <w:vAlign w:val="bottom"/>
          </w:tcPr>
          <w:p w:rsidR="00F565D9" w:rsidRPr="007F1538" w:rsidRDefault="000770B5">
            <w:pPr>
              <w:rPr>
                <w:rFonts w:cs="Arial"/>
                <w:lang w:val="fr-FR"/>
              </w:rPr>
            </w:pPr>
            <w:r w:rsidRPr="007F1538">
              <w:rPr>
                <w:rFonts w:cs="Arial"/>
                <w:lang w:val="fr-FR"/>
              </w:rPr>
              <w:t>4.907</w:t>
            </w:r>
          </w:p>
        </w:tc>
        <w:tc>
          <w:tcPr>
            <w:tcW w:w="1134" w:type="dxa"/>
            <w:tcBorders>
              <w:left w:val="single" w:sz="4" w:space="0" w:color="auto"/>
              <w:bottom w:val="single" w:sz="4" w:space="0" w:color="auto"/>
              <w:right w:val="single" w:sz="4" w:space="0" w:color="auto"/>
            </w:tcBorders>
            <w:vAlign w:val="bottom"/>
          </w:tcPr>
          <w:p w:rsidR="00F565D9" w:rsidRPr="007F1538" w:rsidRDefault="00F565D9">
            <w:pPr>
              <w:rPr>
                <w:rFonts w:cs="Arial"/>
                <w:lang w:val="fr-FR"/>
              </w:rPr>
            </w:pPr>
            <w:r w:rsidRPr="007F1538">
              <w:rPr>
                <w:rFonts w:cs="Arial"/>
                <w:lang w:val="fr-FR"/>
              </w:rPr>
              <w:t>25.533</w:t>
            </w:r>
          </w:p>
        </w:tc>
      </w:tr>
      <w:tr w:rsidR="00F565D9" w:rsidRPr="007F1538" w:rsidTr="003A1F70">
        <w:tc>
          <w:tcPr>
            <w:tcW w:w="993" w:type="dxa"/>
            <w:tcBorders>
              <w:top w:val="single" w:sz="4" w:space="0" w:color="auto"/>
              <w:left w:val="single" w:sz="4" w:space="0" w:color="auto"/>
              <w:bottom w:val="single" w:sz="4" w:space="0" w:color="auto"/>
              <w:right w:val="double" w:sz="4" w:space="0" w:color="auto"/>
            </w:tcBorders>
          </w:tcPr>
          <w:p w:rsidR="00F565D9" w:rsidRPr="007F1538" w:rsidRDefault="00826136" w:rsidP="00690B4E">
            <w:pPr>
              <w:spacing w:before="120"/>
              <w:jc w:val="center"/>
              <w:rPr>
                <w:rFonts w:cs="Arial"/>
                <w:i/>
                <w:lang w:val="fr-FR"/>
              </w:rPr>
            </w:pPr>
            <w:r w:rsidRPr="00826136">
              <w:rPr>
                <w:rFonts w:cs="Arial"/>
                <w:i/>
                <w:lang w:val="fr-FR"/>
              </w:rPr>
              <w:t>Total</w:t>
            </w:r>
          </w:p>
        </w:tc>
        <w:tc>
          <w:tcPr>
            <w:tcW w:w="992" w:type="dxa"/>
            <w:tcBorders>
              <w:top w:val="single" w:sz="4" w:space="0" w:color="auto"/>
              <w:left w:val="single" w:sz="4" w:space="0" w:color="auto"/>
              <w:bottom w:val="single" w:sz="4" w:space="0" w:color="auto"/>
              <w:right w:val="single" w:sz="4" w:space="0" w:color="auto"/>
            </w:tcBorders>
            <w:vAlign w:val="center"/>
          </w:tcPr>
          <w:p w:rsidR="00F565D9" w:rsidRPr="007F1538" w:rsidRDefault="00F565D9" w:rsidP="00F62BA0">
            <w:pPr>
              <w:spacing w:before="120"/>
              <w:jc w:val="center"/>
              <w:rPr>
                <w:rFonts w:cs="Arial"/>
                <w:i/>
                <w:iCs/>
                <w:lang w:val="fr-FR"/>
              </w:rPr>
            </w:pPr>
            <w:r w:rsidRPr="007F1538">
              <w:rPr>
                <w:rFonts w:cs="Arial"/>
                <w:i/>
                <w:iCs/>
                <w:lang w:val="fr-FR"/>
              </w:rPr>
              <w:t>10,0 %</w:t>
            </w:r>
          </w:p>
        </w:tc>
        <w:tc>
          <w:tcPr>
            <w:tcW w:w="992" w:type="dxa"/>
            <w:tcBorders>
              <w:top w:val="single" w:sz="4" w:space="0" w:color="auto"/>
              <w:left w:val="single" w:sz="4" w:space="0" w:color="auto"/>
              <w:bottom w:val="single" w:sz="4" w:space="0" w:color="auto"/>
              <w:right w:val="single" w:sz="4" w:space="0" w:color="auto"/>
            </w:tcBorders>
          </w:tcPr>
          <w:p w:rsidR="00F565D9" w:rsidRPr="007F1538" w:rsidRDefault="00F565D9" w:rsidP="00F62BA0">
            <w:pPr>
              <w:spacing w:before="120"/>
              <w:jc w:val="center"/>
              <w:rPr>
                <w:rFonts w:cs="Arial"/>
                <w:i/>
                <w:iCs/>
                <w:lang w:val="fr-FR"/>
              </w:rPr>
            </w:pPr>
            <w:r w:rsidRPr="007F1538">
              <w:rPr>
                <w:rFonts w:cs="Arial"/>
                <w:i/>
                <w:iCs/>
                <w:lang w:val="fr-FR"/>
              </w:rPr>
              <w:t>11,6 %</w:t>
            </w:r>
          </w:p>
        </w:tc>
        <w:tc>
          <w:tcPr>
            <w:tcW w:w="992" w:type="dxa"/>
            <w:tcBorders>
              <w:top w:val="single" w:sz="4" w:space="0" w:color="auto"/>
              <w:left w:val="single" w:sz="4" w:space="0" w:color="auto"/>
              <w:bottom w:val="single" w:sz="4" w:space="0" w:color="auto"/>
              <w:right w:val="single" w:sz="4" w:space="0" w:color="auto"/>
            </w:tcBorders>
          </w:tcPr>
          <w:p w:rsidR="00F565D9" w:rsidRPr="007F1538" w:rsidRDefault="00F565D9" w:rsidP="00F62BA0">
            <w:pPr>
              <w:spacing w:before="120"/>
              <w:jc w:val="center"/>
              <w:rPr>
                <w:rFonts w:cs="Arial"/>
                <w:i/>
                <w:lang w:val="fr-FR"/>
              </w:rPr>
            </w:pPr>
            <w:r w:rsidRPr="007F1538">
              <w:rPr>
                <w:rFonts w:cs="Arial"/>
                <w:i/>
                <w:lang w:val="fr-FR"/>
              </w:rPr>
              <w:t>11,9 %</w:t>
            </w:r>
          </w:p>
        </w:tc>
        <w:tc>
          <w:tcPr>
            <w:tcW w:w="993" w:type="dxa"/>
            <w:tcBorders>
              <w:top w:val="single" w:sz="4" w:space="0" w:color="auto"/>
              <w:left w:val="single" w:sz="4" w:space="0" w:color="auto"/>
              <w:bottom w:val="single" w:sz="4" w:space="0" w:color="auto"/>
              <w:right w:val="single" w:sz="4" w:space="0" w:color="auto"/>
            </w:tcBorders>
            <w:vAlign w:val="bottom"/>
          </w:tcPr>
          <w:p w:rsidR="00F565D9" w:rsidRPr="007F1538" w:rsidRDefault="00F565D9" w:rsidP="00F62BA0">
            <w:pPr>
              <w:jc w:val="center"/>
              <w:rPr>
                <w:rFonts w:cs="Arial"/>
                <w:i/>
                <w:iCs/>
                <w:lang w:val="fr-FR"/>
              </w:rPr>
            </w:pPr>
            <w:r w:rsidRPr="007F1538">
              <w:rPr>
                <w:rFonts w:cs="Arial"/>
                <w:i/>
                <w:iCs/>
                <w:lang w:val="fr-FR"/>
              </w:rPr>
              <w:t>13,6%</w:t>
            </w:r>
          </w:p>
        </w:tc>
        <w:tc>
          <w:tcPr>
            <w:tcW w:w="992" w:type="dxa"/>
            <w:tcBorders>
              <w:top w:val="single" w:sz="4" w:space="0" w:color="auto"/>
              <w:left w:val="single" w:sz="4" w:space="0" w:color="auto"/>
              <w:bottom w:val="single" w:sz="4" w:space="0" w:color="auto"/>
              <w:right w:val="single" w:sz="4" w:space="0" w:color="auto"/>
            </w:tcBorders>
            <w:vAlign w:val="bottom"/>
          </w:tcPr>
          <w:p w:rsidR="00F565D9" w:rsidRPr="007F1538" w:rsidRDefault="00F565D9">
            <w:pPr>
              <w:jc w:val="center"/>
              <w:rPr>
                <w:rFonts w:cs="Arial"/>
                <w:i/>
                <w:iCs/>
                <w:lang w:val="fr-FR"/>
              </w:rPr>
            </w:pPr>
            <w:r w:rsidRPr="007F1538">
              <w:rPr>
                <w:rFonts w:cs="Arial"/>
                <w:i/>
                <w:iCs/>
                <w:lang w:val="fr-FR"/>
              </w:rPr>
              <w:t>14,5%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565D9" w:rsidRPr="007F1538" w:rsidRDefault="003A1F70">
            <w:pPr>
              <w:jc w:val="center"/>
              <w:rPr>
                <w:rFonts w:cs="Arial"/>
                <w:i/>
                <w:iCs/>
                <w:lang w:val="fr-FR"/>
              </w:rPr>
            </w:pPr>
            <w:r w:rsidRPr="007F1538">
              <w:rPr>
                <w:rFonts w:cs="Arial"/>
                <w:i/>
                <w:iCs/>
                <w:lang w:val="fr-FR"/>
              </w:rPr>
              <w:t>17,4%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565D9" w:rsidRPr="007F1538" w:rsidRDefault="000770B5">
            <w:pPr>
              <w:rPr>
                <w:rFonts w:cs="Arial"/>
                <w:i/>
                <w:lang w:val="fr-FR"/>
              </w:rPr>
            </w:pPr>
            <w:r w:rsidRPr="007F1538">
              <w:rPr>
                <w:rFonts w:cs="Arial"/>
                <w:i/>
                <w:lang w:val="fr-FR"/>
              </w:rPr>
              <w:t>15.394</w:t>
            </w:r>
          </w:p>
        </w:tc>
        <w:tc>
          <w:tcPr>
            <w:tcW w:w="1134" w:type="dxa"/>
            <w:tcBorders>
              <w:top w:val="single" w:sz="4" w:space="0" w:color="auto"/>
              <w:left w:val="single" w:sz="4" w:space="0" w:color="auto"/>
              <w:bottom w:val="single" w:sz="4" w:space="0" w:color="auto"/>
              <w:right w:val="single" w:sz="4" w:space="0" w:color="auto"/>
            </w:tcBorders>
            <w:vAlign w:val="bottom"/>
          </w:tcPr>
          <w:p w:rsidR="00F565D9" w:rsidRPr="007F1538" w:rsidRDefault="00F565D9">
            <w:pPr>
              <w:rPr>
                <w:rFonts w:cs="Arial"/>
                <w:i/>
                <w:lang w:val="fr-FR"/>
              </w:rPr>
            </w:pPr>
            <w:r w:rsidRPr="007F1538">
              <w:rPr>
                <w:rFonts w:cs="Arial"/>
                <w:i/>
                <w:lang w:val="fr-FR"/>
              </w:rPr>
              <w:t>88.714</w:t>
            </w:r>
          </w:p>
        </w:tc>
      </w:tr>
    </w:tbl>
    <w:p w:rsidR="00DB6DF6" w:rsidRPr="007F1538" w:rsidRDefault="00DB6DF6" w:rsidP="003D24CA">
      <w:pPr>
        <w:rPr>
          <w:lang w:val="fr-FR"/>
        </w:rPr>
      </w:pPr>
      <w:bookmarkStart w:id="61" w:name="_Toc169421574"/>
      <w:bookmarkStart w:id="62" w:name="_Toc169421735"/>
    </w:p>
    <w:p w:rsidR="00004C04" w:rsidRPr="007F1538" w:rsidRDefault="00004C04" w:rsidP="003D24CA">
      <w:pPr>
        <w:rPr>
          <w:lang w:val="fr-FR"/>
        </w:rPr>
      </w:pPr>
    </w:p>
    <w:p w:rsidR="00A73AD2" w:rsidRPr="007F1538" w:rsidRDefault="00826136" w:rsidP="00826136">
      <w:pPr>
        <w:pStyle w:val="Heading3"/>
        <w:rPr>
          <w:lang w:val="fr-FR"/>
        </w:rPr>
      </w:pPr>
      <w:bookmarkStart w:id="63" w:name="_Toc231044718"/>
      <w:bookmarkStart w:id="64" w:name="_Toc233192577"/>
      <w:bookmarkStart w:id="65" w:name="_Toc233194342"/>
      <w:bookmarkStart w:id="66" w:name="_Toc233194497"/>
      <w:bookmarkStart w:id="67" w:name="_Toc233607054"/>
      <w:bookmarkStart w:id="68" w:name="_Toc263170600"/>
      <w:bookmarkStart w:id="69" w:name="_Toc267060129"/>
      <w:bookmarkStart w:id="70" w:name="_Toc269220683"/>
      <w:r w:rsidRPr="00826136">
        <w:rPr>
          <w:lang w:val="fr-FR"/>
        </w:rPr>
        <w:t>Formations sectorielles :</w:t>
      </w:r>
      <w:r w:rsidR="00A73AD2" w:rsidRPr="007F1538">
        <w:rPr>
          <w:lang w:val="fr-FR"/>
        </w:rPr>
        <w:t xml:space="preserve"> </w:t>
      </w:r>
      <w:bookmarkEnd w:id="61"/>
      <w:bookmarkEnd w:id="62"/>
      <w:bookmarkEnd w:id="63"/>
      <w:bookmarkEnd w:id="64"/>
      <w:bookmarkEnd w:id="65"/>
      <w:bookmarkEnd w:id="66"/>
      <w:bookmarkEnd w:id="67"/>
      <w:bookmarkEnd w:id="68"/>
      <w:r w:rsidRPr="00826136">
        <w:rPr>
          <w:lang w:val="fr-FR"/>
        </w:rPr>
        <w:t>la priorité de l’IFP</w:t>
      </w:r>
      <w:bookmarkEnd w:id="69"/>
      <w:bookmarkEnd w:id="70"/>
      <w:r w:rsidR="00AF1E79" w:rsidRPr="007F1538">
        <w:rPr>
          <w:lang w:val="fr-FR"/>
        </w:rPr>
        <w:t xml:space="preserve"> </w:t>
      </w:r>
    </w:p>
    <w:p w:rsidR="00CE7819" w:rsidRPr="007F1538" w:rsidRDefault="00826136">
      <w:pPr>
        <w:tabs>
          <w:tab w:val="left" w:pos="540"/>
        </w:tabs>
        <w:rPr>
          <w:rFonts w:cs="Arial"/>
          <w:lang w:val="fr-FR"/>
        </w:rPr>
      </w:pPr>
      <w:r w:rsidRPr="00826136">
        <w:rPr>
          <w:rFonts w:cs="Arial"/>
          <w:lang w:val="fr-FR"/>
        </w:rPr>
        <w:t>Pour ce qui est du contenu des formations sectorielles, la qualité et la sécurité alimentaire sont encore les thèmes les plus plébiscités.</w:t>
      </w:r>
      <w:r w:rsidR="004F0909" w:rsidRPr="007F1538">
        <w:rPr>
          <w:rFonts w:cs="Arial"/>
          <w:lang w:val="fr-FR"/>
        </w:rPr>
        <w:t xml:space="preserve"> </w:t>
      </w:r>
      <w:r w:rsidRPr="00826136">
        <w:rPr>
          <w:rFonts w:cs="Arial"/>
          <w:lang w:val="fr-FR"/>
        </w:rPr>
        <w:t>En 2009, la part de ces formations est passée à plus d’un tiers de la couverture des formations au détriment de la part des formations en langues, en techniques, en sécurité et en environnement.</w:t>
      </w:r>
      <w:r w:rsidR="00CE7819" w:rsidRPr="007F1538">
        <w:rPr>
          <w:rFonts w:cs="Arial"/>
          <w:lang w:val="fr-FR"/>
        </w:rPr>
        <w:t xml:space="preserve"> </w:t>
      </w:r>
      <w:r w:rsidRPr="00826136">
        <w:rPr>
          <w:rFonts w:cs="Arial"/>
          <w:lang w:val="fr-FR"/>
        </w:rPr>
        <w:t>Bien que le nombre de formations en sécurité et environnement ait diminué, leur part représente encore près de 17%.</w:t>
      </w:r>
    </w:p>
    <w:p w:rsidR="00004C04" w:rsidRPr="007F1538" w:rsidRDefault="00004C04" w:rsidP="00004C04">
      <w:pPr>
        <w:pStyle w:val="Header"/>
        <w:tabs>
          <w:tab w:val="clear" w:pos="4536"/>
          <w:tab w:val="clear" w:pos="9072"/>
          <w:tab w:val="left" w:pos="540"/>
        </w:tabs>
        <w:rPr>
          <w:sz w:val="20"/>
          <w:szCs w:val="20"/>
          <w:lang w:val="fr-FR"/>
        </w:rPr>
      </w:pPr>
    </w:p>
    <w:p w:rsidR="00174A44" w:rsidRPr="007F1538" w:rsidRDefault="007A50E0" w:rsidP="00004C04">
      <w:pPr>
        <w:pStyle w:val="Header"/>
        <w:tabs>
          <w:tab w:val="clear" w:pos="4536"/>
          <w:tab w:val="clear" w:pos="9072"/>
          <w:tab w:val="left" w:pos="540"/>
        </w:tabs>
        <w:rPr>
          <w:rFonts w:cs="Arial"/>
          <w:sz w:val="20"/>
          <w:szCs w:val="20"/>
          <w:lang w:val="fr-FR" w:eastAsia="nl-NL"/>
        </w:rPr>
      </w:pPr>
      <w:r>
        <w:rPr>
          <w:sz w:val="20"/>
          <w:szCs w:val="20"/>
          <w:lang w:val="fr-FR"/>
        </w:rPr>
        <w:t>Tableau 20</w:t>
      </w:r>
      <w:r w:rsidR="00826136" w:rsidRPr="00826136">
        <w:rPr>
          <w:sz w:val="20"/>
          <w:szCs w:val="20"/>
          <w:lang w:val="fr-FR"/>
        </w:rPr>
        <w:t> : nombre de participants en fonction de la rubrique de formation</w:t>
      </w:r>
    </w:p>
    <w:tbl>
      <w:tblPr>
        <w:tblpPr w:leftFromText="180" w:rightFromText="180" w:vertAnchor="text" w:horzAnchor="margin" w:tblpY="229"/>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95"/>
        <w:gridCol w:w="1195"/>
        <w:gridCol w:w="1195"/>
      </w:tblGrid>
      <w:tr w:rsidR="00004C04" w:rsidRPr="007F1538" w:rsidTr="00826136">
        <w:tc>
          <w:tcPr>
            <w:tcW w:w="6495" w:type="dxa"/>
            <w:noWrap/>
            <w:tcMar>
              <w:top w:w="15" w:type="dxa"/>
              <w:left w:w="15" w:type="dxa"/>
              <w:bottom w:w="0" w:type="dxa"/>
              <w:right w:w="15" w:type="dxa"/>
            </w:tcMar>
            <w:vAlign w:val="bottom"/>
          </w:tcPr>
          <w:p w:rsidR="00004C04" w:rsidRPr="007F1538" w:rsidRDefault="00826136" w:rsidP="00690B4E">
            <w:pPr>
              <w:pStyle w:val="Header"/>
              <w:tabs>
                <w:tab w:val="clear" w:pos="4536"/>
                <w:tab w:val="clear" w:pos="9072"/>
              </w:tabs>
              <w:spacing w:before="60"/>
              <w:ind w:left="170"/>
              <w:rPr>
                <w:rFonts w:eastAsia="Arial Unicode MS" w:cs="Arial"/>
                <w:b/>
                <w:bCs/>
                <w:sz w:val="20"/>
                <w:szCs w:val="20"/>
                <w:lang w:val="fr-FR" w:eastAsia="nl-NL"/>
              </w:rPr>
            </w:pPr>
            <w:r w:rsidRPr="00826136">
              <w:rPr>
                <w:rFonts w:cs="Arial"/>
                <w:b/>
                <w:bCs/>
                <w:sz w:val="20"/>
                <w:szCs w:val="20"/>
                <w:lang w:val="fr-FR" w:eastAsia="nl-NL"/>
              </w:rPr>
              <w:t>Rubrique formation</w:t>
            </w:r>
          </w:p>
        </w:tc>
        <w:tc>
          <w:tcPr>
            <w:tcW w:w="2390" w:type="dxa"/>
            <w:gridSpan w:val="2"/>
            <w:vAlign w:val="center"/>
          </w:tcPr>
          <w:p w:rsidR="00004C04" w:rsidRPr="007F1538" w:rsidRDefault="00004C04" w:rsidP="00826136">
            <w:pPr>
              <w:spacing w:before="60"/>
              <w:jc w:val="center"/>
              <w:rPr>
                <w:rFonts w:eastAsia="Arial Unicode MS" w:cs="Arial"/>
                <w:b/>
                <w:lang w:val="fr-FR"/>
              </w:rPr>
            </w:pPr>
            <w:r w:rsidRPr="007F1538">
              <w:rPr>
                <w:rFonts w:cs="Arial"/>
                <w:b/>
                <w:lang w:val="fr-FR"/>
              </w:rPr>
              <w:t>200</w:t>
            </w:r>
            <w:r w:rsidR="001C2FF7" w:rsidRPr="007F1538">
              <w:rPr>
                <w:rFonts w:cs="Arial"/>
                <w:b/>
                <w:lang w:val="fr-FR"/>
              </w:rPr>
              <w:t>9</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cs="Arial"/>
                <w:lang w:val="fr-FR"/>
              </w:rPr>
              <w:t>Administration, ventes et achats, export, finances et comptabilité</w:t>
            </w:r>
          </w:p>
        </w:tc>
        <w:tc>
          <w:tcPr>
            <w:tcW w:w="1195" w:type="dxa"/>
            <w:vAlign w:val="bottom"/>
          </w:tcPr>
          <w:p w:rsidR="00004C04" w:rsidRPr="007F1538" w:rsidRDefault="001C2FF7" w:rsidP="00826136">
            <w:pPr>
              <w:jc w:val="center"/>
              <w:rPr>
                <w:rFonts w:cs="Arial"/>
                <w:lang w:val="fr-FR"/>
              </w:rPr>
            </w:pPr>
            <w:r w:rsidRPr="007F1538">
              <w:rPr>
                <w:rFonts w:cs="Arial"/>
                <w:lang w:val="fr-FR"/>
              </w:rPr>
              <w:t>393</w:t>
            </w:r>
          </w:p>
        </w:tc>
        <w:tc>
          <w:tcPr>
            <w:tcW w:w="1195" w:type="dxa"/>
            <w:noWrap/>
            <w:tcMar>
              <w:top w:w="15" w:type="dxa"/>
              <w:left w:w="15" w:type="dxa"/>
              <w:bottom w:w="0" w:type="dxa"/>
              <w:right w:w="15" w:type="dxa"/>
            </w:tcMar>
            <w:vAlign w:val="bottom"/>
          </w:tcPr>
          <w:p w:rsidR="00004C04" w:rsidRPr="007F1538" w:rsidRDefault="001C2FF7" w:rsidP="00826136">
            <w:pPr>
              <w:jc w:val="center"/>
              <w:rPr>
                <w:rFonts w:cs="Arial"/>
                <w:lang w:val="fr-FR"/>
              </w:rPr>
            </w:pPr>
            <w:r w:rsidRPr="007F1538">
              <w:rPr>
                <w:rFonts w:cs="Arial"/>
                <w:lang w:val="fr-FR"/>
              </w:rPr>
              <w:t>1,6</w:t>
            </w:r>
            <w:r w:rsidR="00004C04"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cs="Arial"/>
                <w:lang w:val="fr-FR"/>
              </w:rPr>
              <w:lastRenderedPageBreak/>
              <w:t>Communication, ingénierie de la formation, gestion d’équipe</w:t>
            </w:r>
          </w:p>
        </w:tc>
        <w:tc>
          <w:tcPr>
            <w:tcW w:w="1195" w:type="dxa"/>
            <w:vAlign w:val="bottom"/>
          </w:tcPr>
          <w:p w:rsidR="00004C04" w:rsidRPr="007F1538" w:rsidRDefault="001C2FF7" w:rsidP="00826136">
            <w:pPr>
              <w:jc w:val="center"/>
              <w:rPr>
                <w:rFonts w:cs="Arial"/>
                <w:lang w:val="fr-FR"/>
              </w:rPr>
            </w:pPr>
            <w:r w:rsidRPr="007F1538">
              <w:rPr>
                <w:rFonts w:cs="Arial"/>
                <w:lang w:val="fr-FR"/>
              </w:rPr>
              <w:t>2.610</w:t>
            </w:r>
          </w:p>
        </w:tc>
        <w:tc>
          <w:tcPr>
            <w:tcW w:w="1195" w:type="dxa"/>
            <w:noWrap/>
            <w:tcMar>
              <w:top w:w="15" w:type="dxa"/>
              <w:left w:w="15" w:type="dxa"/>
              <w:bottom w:w="0" w:type="dxa"/>
              <w:right w:w="15" w:type="dxa"/>
            </w:tcMar>
            <w:vAlign w:val="bottom"/>
          </w:tcPr>
          <w:p w:rsidR="00004C04" w:rsidRPr="007F1538" w:rsidRDefault="00004C04" w:rsidP="00826136">
            <w:pPr>
              <w:jc w:val="center"/>
              <w:rPr>
                <w:rFonts w:cs="Arial"/>
                <w:lang w:val="fr-FR"/>
              </w:rPr>
            </w:pPr>
            <w:r w:rsidRPr="007F1538">
              <w:rPr>
                <w:rFonts w:cs="Arial"/>
                <w:lang w:val="fr-FR"/>
              </w:rPr>
              <w:t>10,</w:t>
            </w:r>
            <w:r w:rsidR="001C2FF7" w:rsidRPr="007F1538">
              <w:rPr>
                <w:rFonts w:cs="Arial"/>
                <w:lang w:val="fr-FR"/>
              </w:rPr>
              <w:t>8</w:t>
            </w:r>
            <w:r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cs="Arial"/>
                <w:lang w:val="fr-FR"/>
              </w:rPr>
              <w:t>Informatique</w:t>
            </w:r>
          </w:p>
        </w:tc>
        <w:tc>
          <w:tcPr>
            <w:tcW w:w="1195" w:type="dxa"/>
            <w:vAlign w:val="bottom"/>
          </w:tcPr>
          <w:p w:rsidR="00004C04" w:rsidRPr="007F1538" w:rsidRDefault="001C2FF7" w:rsidP="00826136">
            <w:pPr>
              <w:jc w:val="center"/>
              <w:rPr>
                <w:rFonts w:cs="Arial"/>
                <w:lang w:val="fr-FR"/>
              </w:rPr>
            </w:pPr>
            <w:r w:rsidRPr="007F1538">
              <w:rPr>
                <w:rFonts w:cs="Arial"/>
                <w:lang w:val="fr-FR"/>
              </w:rPr>
              <w:t>1.864</w:t>
            </w:r>
          </w:p>
        </w:tc>
        <w:tc>
          <w:tcPr>
            <w:tcW w:w="1195" w:type="dxa"/>
            <w:noWrap/>
            <w:tcMar>
              <w:top w:w="15" w:type="dxa"/>
              <w:left w:w="15" w:type="dxa"/>
              <w:bottom w:w="0" w:type="dxa"/>
              <w:right w:w="15" w:type="dxa"/>
            </w:tcMar>
            <w:vAlign w:val="bottom"/>
          </w:tcPr>
          <w:p w:rsidR="00004C04" w:rsidRPr="007F1538" w:rsidRDefault="001C2FF7" w:rsidP="00826136">
            <w:pPr>
              <w:jc w:val="center"/>
              <w:rPr>
                <w:rFonts w:cs="Arial"/>
                <w:lang w:val="fr-FR"/>
              </w:rPr>
            </w:pPr>
            <w:r w:rsidRPr="007F1538">
              <w:rPr>
                <w:rFonts w:cs="Arial"/>
                <w:lang w:val="fr-FR"/>
              </w:rPr>
              <w:t>7,7</w:t>
            </w:r>
            <w:r w:rsidR="00004C04"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cs="Arial"/>
                <w:lang w:val="fr-FR"/>
              </w:rPr>
              <w:t>Logistique</w:t>
            </w:r>
          </w:p>
        </w:tc>
        <w:tc>
          <w:tcPr>
            <w:tcW w:w="1195" w:type="dxa"/>
            <w:vAlign w:val="bottom"/>
          </w:tcPr>
          <w:p w:rsidR="00004C04" w:rsidRPr="007F1538" w:rsidRDefault="001C2FF7" w:rsidP="00826136">
            <w:pPr>
              <w:jc w:val="center"/>
              <w:rPr>
                <w:rFonts w:cs="Arial"/>
                <w:lang w:val="fr-FR"/>
              </w:rPr>
            </w:pPr>
            <w:r w:rsidRPr="007F1538">
              <w:rPr>
                <w:rFonts w:cs="Arial"/>
                <w:lang w:val="fr-FR"/>
              </w:rPr>
              <w:t>2.641</w:t>
            </w:r>
          </w:p>
        </w:tc>
        <w:tc>
          <w:tcPr>
            <w:tcW w:w="1195" w:type="dxa"/>
            <w:noWrap/>
            <w:tcMar>
              <w:top w:w="15" w:type="dxa"/>
              <w:left w:w="15" w:type="dxa"/>
              <w:bottom w:w="0" w:type="dxa"/>
              <w:right w:w="15" w:type="dxa"/>
            </w:tcMar>
            <w:vAlign w:val="bottom"/>
          </w:tcPr>
          <w:p w:rsidR="00004C04" w:rsidRPr="007F1538" w:rsidRDefault="00CE7819" w:rsidP="00826136">
            <w:pPr>
              <w:jc w:val="center"/>
              <w:rPr>
                <w:rFonts w:cs="Arial"/>
                <w:lang w:val="fr-FR"/>
              </w:rPr>
            </w:pPr>
            <w:r w:rsidRPr="007F1538">
              <w:rPr>
                <w:rFonts w:cs="Arial"/>
                <w:lang w:val="fr-FR"/>
              </w:rPr>
              <w:t>10,9</w:t>
            </w:r>
            <w:r w:rsidR="00004C04"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cs="Arial"/>
                <w:lang w:val="fr-FR"/>
              </w:rPr>
              <w:t>Formations spécifiques au secteur (HACCP, hygiène, qualité, formations sous-sectorielles, …)</w:t>
            </w:r>
          </w:p>
        </w:tc>
        <w:tc>
          <w:tcPr>
            <w:tcW w:w="1195" w:type="dxa"/>
            <w:vAlign w:val="bottom"/>
          </w:tcPr>
          <w:p w:rsidR="00004C04" w:rsidRPr="007F1538" w:rsidRDefault="001C2FF7" w:rsidP="00826136">
            <w:pPr>
              <w:jc w:val="center"/>
              <w:rPr>
                <w:rFonts w:cs="Arial"/>
                <w:lang w:val="fr-FR"/>
              </w:rPr>
            </w:pPr>
            <w:r w:rsidRPr="007F1538">
              <w:rPr>
                <w:rFonts w:cs="Arial"/>
                <w:lang w:val="fr-FR"/>
              </w:rPr>
              <w:t>8.738</w:t>
            </w:r>
          </w:p>
        </w:tc>
        <w:tc>
          <w:tcPr>
            <w:tcW w:w="1195" w:type="dxa"/>
            <w:noWrap/>
            <w:tcMar>
              <w:top w:w="15" w:type="dxa"/>
              <w:left w:w="15" w:type="dxa"/>
              <w:bottom w:w="0" w:type="dxa"/>
              <w:right w:w="15" w:type="dxa"/>
            </w:tcMar>
            <w:vAlign w:val="bottom"/>
          </w:tcPr>
          <w:p w:rsidR="00004C04" w:rsidRPr="007F1538" w:rsidRDefault="00CE7819" w:rsidP="00826136">
            <w:pPr>
              <w:jc w:val="center"/>
              <w:rPr>
                <w:rFonts w:cs="Arial"/>
                <w:lang w:val="fr-FR"/>
              </w:rPr>
            </w:pPr>
            <w:r w:rsidRPr="007F1538">
              <w:rPr>
                <w:rFonts w:cs="Arial"/>
                <w:lang w:val="fr-FR"/>
              </w:rPr>
              <w:t>36,2</w:t>
            </w:r>
            <w:r w:rsidR="00004C04"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cs="Arial"/>
                <w:lang w:val="fr-FR"/>
              </w:rPr>
              <w:t>Langues</w:t>
            </w:r>
          </w:p>
        </w:tc>
        <w:tc>
          <w:tcPr>
            <w:tcW w:w="1195" w:type="dxa"/>
            <w:vAlign w:val="bottom"/>
          </w:tcPr>
          <w:p w:rsidR="00004C04" w:rsidRPr="007F1538" w:rsidRDefault="001C2FF7" w:rsidP="00826136">
            <w:pPr>
              <w:jc w:val="center"/>
              <w:rPr>
                <w:rFonts w:cs="Arial"/>
                <w:lang w:val="fr-FR"/>
              </w:rPr>
            </w:pPr>
            <w:r w:rsidRPr="007F1538">
              <w:rPr>
                <w:rFonts w:cs="Arial"/>
                <w:lang w:val="fr-FR"/>
              </w:rPr>
              <w:t>2.414</w:t>
            </w:r>
          </w:p>
        </w:tc>
        <w:tc>
          <w:tcPr>
            <w:tcW w:w="1195" w:type="dxa"/>
            <w:noWrap/>
            <w:tcMar>
              <w:top w:w="15" w:type="dxa"/>
              <w:left w:w="15" w:type="dxa"/>
              <w:bottom w:w="0" w:type="dxa"/>
              <w:right w:w="15" w:type="dxa"/>
            </w:tcMar>
            <w:vAlign w:val="bottom"/>
          </w:tcPr>
          <w:p w:rsidR="00004C04" w:rsidRPr="007F1538" w:rsidRDefault="00CE7819" w:rsidP="00826136">
            <w:pPr>
              <w:jc w:val="center"/>
              <w:rPr>
                <w:rFonts w:cs="Arial"/>
                <w:lang w:val="fr-FR"/>
              </w:rPr>
            </w:pPr>
            <w:r w:rsidRPr="007F1538">
              <w:rPr>
                <w:rFonts w:cs="Arial"/>
                <w:lang w:val="fr-FR"/>
              </w:rPr>
              <w:t>10,0</w:t>
            </w:r>
            <w:r w:rsidR="00004C04"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5D72CE" w:rsidP="00690B4E">
            <w:pPr>
              <w:spacing w:before="60"/>
              <w:ind w:left="170"/>
              <w:rPr>
                <w:rFonts w:eastAsia="Arial Unicode MS" w:cs="Arial"/>
                <w:lang w:val="fr-FR"/>
              </w:rPr>
            </w:pPr>
            <w:r>
              <w:rPr>
                <w:rFonts w:cs="Arial"/>
                <w:lang w:val="fr-FR"/>
              </w:rPr>
              <w:t>Technique – Production - Maintenance</w:t>
            </w:r>
          </w:p>
        </w:tc>
        <w:tc>
          <w:tcPr>
            <w:tcW w:w="1195" w:type="dxa"/>
            <w:vAlign w:val="bottom"/>
          </w:tcPr>
          <w:p w:rsidR="00004C04" w:rsidRPr="007F1538" w:rsidRDefault="001C2FF7" w:rsidP="00826136">
            <w:pPr>
              <w:jc w:val="center"/>
              <w:rPr>
                <w:rFonts w:cs="Arial"/>
                <w:lang w:val="fr-FR"/>
              </w:rPr>
            </w:pPr>
            <w:r w:rsidRPr="007F1538">
              <w:rPr>
                <w:rFonts w:cs="Arial"/>
                <w:lang w:val="fr-FR"/>
              </w:rPr>
              <w:t>1.426</w:t>
            </w:r>
          </w:p>
        </w:tc>
        <w:tc>
          <w:tcPr>
            <w:tcW w:w="1195" w:type="dxa"/>
            <w:noWrap/>
            <w:tcMar>
              <w:top w:w="15" w:type="dxa"/>
              <w:left w:w="15" w:type="dxa"/>
              <w:bottom w:w="0" w:type="dxa"/>
              <w:right w:w="15" w:type="dxa"/>
            </w:tcMar>
            <w:vAlign w:val="bottom"/>
          </w:tcPr>
          <w:p w:rsidR="00004C04" w:rsidRPr="007F1538" w:rsidRDefault="00CE7819" w:rsidP="00826136">
            <w:pPr>
              <w:jc w:val="center"/>
              <w:rPr>
                <w:rFonts w:cs="Arial"/>
                <w:lang w:val="fr-FR"/>
              </w:rPr>
            </w:pPr>
            <w:r w:rsidRPr="007F1538">
              <w:rPr>
                <w:rFonts w:cs="Arial"/>
                <w:lang w:val="fr-FR"/>
              </w:rPr>
              <w:t>5,9</w:t>
            </w:r>
            <w:r w:rsidR="00004C04"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lang w:val="fr-FR"/>
              </w:rPr>
            </w:pPr>
            <w:r w:rsidRPr="00826136">
              <w:rPr>
                <w:rFonts w:eastAsia="Arial Unicode MS" w:cs="Arial"/>
                <w:lang w:val="fr-FR"/>
              </w:rPr>
              <w:t xml:space="preserve">Sécurité </w:t>
            </w:r>
            <w:r w:rsidR="00637A6F">
              <w:rPr>
                <w:rFonts w:eastAsia="Arial Unicode MS" w:cs="Arial"/>
                <w:lang w:val="fr-FR"/>
              </w:rPr>
              <w:t xml:space="preserve">au travail </w:t>
            </w:r>
            <w:r w:rsidRPr="00826136">
              <w:rPr>
                <w:rFonts w:eastAsia="Arial Unicode MS" w:cs="Arial"/>
                <w:lang w:val="fr-FR"/>
              </w:rPr>
              <w:t>et environnement</w:t>
            </w:r>
          </w:p>
        </w:tc>
        <w:tc>
          <w:tcPr>
            <w:tcW w:w="1195" w:type="dxa"/>
            <w:vAlign w:val="bottom"/>
          </w:tcPr>
          <w:p w:rsidR="00004C04" w:rsidRPr="007F1538" w:rsidRDefault="001C2FF7" w:rsidP="00826136">
            <w:pPr>
              <w:jc w:val="center"/>
              <w:rPr>
                <w:rFonts w:cs="Arial"/>
                <w:lang w:val="fr-FR"/>
              </w:rPr>
            </w:pPr>
            <w:r w:rsidRPr="007F1538">
              <w:rPr>
                <w:rFonts w:cs="Arial"/>
                <w:lang w:val="fr-FR"/>
              </w:rPr>
              <w:t>4.078</w:t>
            </w:r>
          </w:p>
        </w:tc>
        <w:tc>
          <w:tcPr>
            <w:tcW w:w="1195" w:type="dxa"/>
            <w:noWrap/>
            <w:tcMar>
              <w:top w:w="15" w:type="dxa"/>
              <w:left w:w="15" w:type="dxa"/>
              <w:bottom w:w="0" w:type="dxa"/>
              <w:right w:w="15" w:type="dxa"/>
            </w:tcMar>
            <w:vAlign w:val="bottom"/>
          </w:tcPr>
          <w:p w:rsidR="00004C04" w:rsidRPr="007F1538" w:rsidRDefault="00004C04" w:rsidP="00826136">
            <w:pPr>
              <w:jc w:val="center"/>
              <w:rPr>
                <w:rFonts w:cs="Arial"/>
                <w:lang w:val="fr-FR"/>
              </w:rPr>
            </w:pPr>
            <w:r w:rsidRPr="007F1538">
              <w:rPr>
                <w:rFonts w:cs="Arial"/>
                <w:lang w:val="fr-FR"/>
              </w:rPr>
              <w:t>1</w:t>
            </w:r>
            <w:r w:rsidR="00CE7819" w:rsidRPr="007F1538">
              <w:rPr>
                <w:rFonts w:cs="Arial"/>
                <w:lang w:val="fr-FR"/>
              </w:rPr>
              <w:t>6,9</w:t>
            </w:r>
            <w:r w:rsidRPr="007F1538">
              <w:rPr>
                <w:rFonts w:cs="Arial"/>
                <w:lang w:val="fr-FR"/>
              </w:rPr>
              <w:t>%</w:t>
            </w:r>
          </w:p>
        </w:tc>
      </w:tr>
      <w:tr w:rsidR="00004C04" w:rsidRPr="007F1538" w:rsidTr="00826136">
        <w:trPr>
          <w:cantSplit/>
        </w:trPr>
        <w:tc>
          <w:tcPr>
            <w:tcW w:w="6495" w:type="dxa"/>
            <w:noWrap/>
            <w:tcMar>
              <w:top w:w="15" w:type="dxa"/>
              <w:left w:w="15" w:type="dxa"/>
              <w:bottom w:w="17" w:type="dxa"/>
              <w:right w:w="15" w:type="dxa"/>
            </w:tcMar>
            <w:vAlign w:val="center"/>
          </w:tcPr>
          <w:p w:rsidR="00004C04" w:rsidRPr="007F1538" w:rsidRDefault="00826136" w:rsidP="00690B4E">
            <w:pPr>
              <w:spacing w:before="60"/>
              <w:ind w:left="170"/>
              <w:rPr>
                <w:rFonts w:eastAsia="Arial Unicode MS" w:cs="Arial"/>
                <w:i/>
                <w:lang w:val="fr-FR"/>
              </w:rPr>
            </w:pPr>
            <w:r w:rsidRPr="00826136">
              <w:rPr>
                <w:rFonts w:cs="Arial"/>
                <w:i/>
                <w:lang w:val="fr-FR"/>
              </w:rPr>
              <w:t>TOTAL</w:t>
            </w:r>
          </w:p>
        </w:tc>
        <w:tc>
          <w:tcPr>
            <w:tcW w:w="1195" w:type="dxa"/>
            <w:vAlign w:val="bottom"/>
          </w:tcPr>
          <w:p w:rsidR="00004C04" w:rsidRPr="007F1538" w:rsidRDefault="001C2FF7" w:rsidP="00826136">
            <w:pPr>
              <w:jc w:val="center"/>
              <w:rPr>
                <w:rFonts w:cs="Arial"/>
                <w:i/>
                <w:lang w:val="fr-FR"/>
              </w:rPr>
            </w:pPr>
            <w:r w:rsidRPr="007F1538">
              <w:rPr>
                <w:rFonts w:cs="Arial"/>
                <w:i/>
                <w:lang w:val="fr-FR"/>
              </w:rPr>
              <w:t>24.164</w:t>
            </w:r>
          </w:p>
        </w:tc>
        <w:tc>
          <w:tcPr>
            <w:tcW w:w="1195" w:type="dxa"/>
            <w:noWrap/>
            <w:tcMar>
              <w:top w:w="15" w:type="dxa"/>
              <w:left w:w="15" w:type="dxa"/>
              <w:bottom w:w="0" w:type="dxa"/>
              <w:right w:w="15" w:type="dxa"/>
            </w:tcMar>
            <w:vAlign w:val="bottom"/>
          </w:tcPr>
          <w:p w:rsidR="00004C04" w:rsidRPr="007F1538" w:rsidRDefault="00004C04" w:rsidP="00826136">
            <w:pPr>
              <w:jc w:val="center"/>
              <w:rPr>
                <w:rFonts w:cs="Arial"/>
                <w:i/>
                <w:lang w:val="fr-FR"/>
              </w:rPr>
            </w:pPr>
            <w:r w:rsidRPr="007F1538">
              <w:rPr>
                <w:rFonts w:cs="Arial"/>
                <w:i/>
                <w:lang w:val="fr-FR"/>
              </w:rPr>
              <w:t>100,0%</w:t>
            </w:r>
          </w:p>
        </w:tc>
      </w:tr>
    </w:tbl>
    <w:p w:rsidR="00710EC7" w:rsidRPr="007F1538" w:rsidRDefault="00710EC7">
      <w:pPr>
        <w:rPr>
          <w:rFonts w:cs="Arial"/>
          <w:lang w:val="fr-FR"/>
        </w:rPr>
      </w:pPr>
    </w:p>
    <w:p w:rsidR="0011694F" w:rsidRPr="007F1538" w:rsidRDefault="0011694F">
      <w:pPr>
        <w:rPr>
          <w:rFonts w:cs="Arial"/>
          <w:lang w:val="fr-FR"/>
        </w:rPr>
      </w:pPr>
    </w:p>
    <w:p w:rsidR="0011694F" w:rsidRPr="007F1538" w:rsidRDefault="0011694F">
      <w:pPr>
        <w:rPr>
          <w:rFonts w:cs="Arial"/>
          <w:lang w:val="fr-FR"/>
        </w:rPr>
      </w:pPr>
    </w:p>
    <w:p w:rsidR="0011694F" w:rsidRPr="007F1538" w:rsidRDefault="0011694F">
      <w:pPr>
        <w:rPr>
          <w:rFonts w:cs="Arial"/>
          <w:lang w:val="fr-FR"/>
        </w:rPr>
      </w:pPr>
    </w:p>
    <w:p w:rsidR="0002239E" w:rsidRPr="007F1538" w:rsidRDefault="00826136"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DE6389">
        <w:rPr>
          <w:rFonts w:cs="Arial"/>
          <w:b/>
          <w:i/>
          <w:color w:val="000000"/>
          <w:shd w:val="pct70" w:color="FFFFFF" w:fill="auto"/>
          <w:lang w:val="fr-FR"/>
        </w:rPr>
        <w:t>*** 20 ans de l’IFP ***</w:t>
      </w:r>
    </w:p>
    <w:p w:rsidR="0002239E" w:rsidRPr="007F1538" w:rsidRDefault="0002239E"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02239E"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D30409">
        <w:rPr>
          <w:rFonts w:cs="Arial"/>
          <w:b/>
          <w:i/>
          <w:color w:val="000000"/>
          <w:shd w:val="pct70" w:color="FFFFFF" w:fill="auto"/>
          <w:lang w:val="fr-FR"/>
        </w:rPr>
        <w:t xml:space="preserve">Evolution dans l’offre </w:t>
      </w:r>
      <w:r w:rsidR="00D30409" w:rsidRPr="00D30409">
        <w:rPr>
          <w:rFonts w:cs="Arial"/>
          <w:b/>
          <w:i/>
          <w:color w:val="000000"/>
          <w:shd w:val="pct70" w:color="FFFFFF" w:fill="auto"/>
          <w:lang w:val="fr-FR"/>
        </w:rPr>
        <w:t xml:space="preserve">de </w:t>
      </w:r>
      <w:r w:rsidRPr="00D30409">
        <w:rPr>
          <w:rFonts w:cs="Arial"/>
          <w:b/>
          <w:i/>
          <w:color w:val="000000"/>
          <w:shd w:val="pct70" w:color="FFFFFF" w:fill="auto"/>
          <w:lang w:val="fr-FR"/>
        </w:rPr>
        <w:t>formations</w:t>
      </w:r>
    </w:p>
    <w:p w:rsidR="0002239E" w:rsidRPr="007F1538" w:rsidRDefault="0002239E"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p>
    <w:p w:rsidR="0002239E" w:rsidRPr="007F1538" w:rsidRDefault="0002239E"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7F1538">
        <w:rPr>
          <w:rFonts w:cs="Arial"/>
          <w:i/>
          <w:color w:val="000000"/>
          <w:lang w:val="fr-FR"/>
        </w:rPr>
        <w:t>***</w:t>
      </w:r>
    </w:p>
    <w:p w:rsidR="00A23C6C" w:rsidRPr="007F1538" w:rsidRDefault="00DE6389" w:rsidP="00DE6389">
      <w:pPr>
        <w:rPr>
          <w:rFonts w:cs="Arial"/>
          <w:color w:val="000000"/>
          <w:lang w:val="fr-FR"/>
        </w:rPr>
      </w:pPr>
      <w:r w:rsidRPr="00DE6389">
        <w:rPr>
          <w:rFonts w:cs="Arial"/>
          <w:color w:val="000000"/>
          <w:lang w:val="fr-FR"/>
        </w:rPr>
        <w:t>En vingt ans, l’industrie alimentaire a énormément évolué, et ce essentiellement en raison de l’automatisation, de l’intérêt croissant pour la sécurité alimentaire et la qualité, des nombreuses innovations technologiques,.</w:t>
      </w:r>
      <w:r w:rsidR="003D1A67" w:rsidRPr="007F1538">
        <w:rPr>
          <w:rFonts w:cs="Arial"/>
          <w:color w:val="000000"/>
          <w:lang w:val="fr-FR"/>
        </w:rPr>
        <w:t xml:space="preserve">.. </w:t>
      </w:r>
      <w:r w:rsidRPr="00DE6389">
        <w:rPr>
          <w:rFonts w:cs="Arial"/>
          <w:color w:val="000000"/>
          <w:lang w:val="fr-FR"/>
        </w:rPr>
        <w:t>L’offre de formations de l’IFP a également évolué en parallèle.</w:t>
      </w:r>
    </w:p>
    <w:p w:rsidR="00336C00" w:rsidRPr="007F1538" w:rsidRDefault="00336C00"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5B01FC"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DE6389">
        <w:rPr>
          <w:rFonts w:cs="Arial"/>
          <w:i/>
          <w:color w:val="000000"/>
          <w:shd w:val="pct70" w:color="FFFFFF" w:fill="auto"/>
          <w:lang w:val="fr-FR"/>
        </w:rPr>
        <w:t>Sécurité alimentaire et qualité.</w:t>
      </w:r>
    </w:p>
    <w:p w:rsidR="005B01FC" w:rsidRPr="007F1538" w:rsidRDefault="005B01FC"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724BE3" w:rsidRPr="007F1538" w:rsidRDefault="00DE6389" w:rsidP="00DE6389">
      <w:pPr>
        <w:rPr>
          <w:rFonts w:cs="Arial"/>
          <w:color w:val="000000"/>
          <w:lang w:val="fr-FR"/>
        </w:rPr>
      </w:pPr>
      <w:r w:rsidRPr="00DE6389">
        <w:rPr>
          <w:rFonts w:cs="Arial"/>
          <w:color w:val="000000"/>
          <w:lang w:val="fr-FR"/>
        </w:rPr>
        <w:t>La sécurité alimentaire et la qualité ont toujours été des thèmes de formation importants.</w:t>
      </w:r>
      <w:r w:rsidR="006E1A3A" w:rsidRPr="007F1538">
        <w:rPr>
          <w:rFonts w:cs="Arial"/>
          <w:color w:val="000000"/>
          <w:lang w:val="fr-FR"/>
        </w:rPr>
        <w:t xml:space="preserve"> </w:t>
      </w:r>
      <w:r w:rsidRPr="00DE6389">
        <w:rPr>
          <w:rFonts w:cs="Arial"/>
          <w:color w:val="000000"/>
          <w:lang w:val="fr-FR"/>
        </w:rPr>
        <w:t>Ces dix dernières années, leur part au sein de l’offre de formations de l’IFP n’a cessé d’augmenter sous la pression de la réglementation et des exigences du marché.</w:t>
      </w:r>
      <w:r w:rsidR="006E1A3A" w:rsidRPr="007F1538">
        <w:rPr>
          <w:rFonts w:cs="Arial"/>
          <w:color w:val="000000"/>
          <w:lang w:val="fr-FR"/>
        </w:rPr>
        <w:t xml:space="preserve"> </w:t>
      </w:r>
      <w:r w:rsidRPr="00DE6389">
        <w:rPr>
          <w:rFonts w:cs="Arial"/>
          <w:color w:val="000000"/>
          <w:lang w:val="fr-FR"/>
        </w:rPr>
        <w:t>En 1999, la part de ces formations représentait près d’un quart de toutes les formations, contre près d’un tiers dix ans plus tard.</w:t>
      </w:r>
      <w:r w:rsidR="005B01FC" w:rsidRPr="007F1538">
        <w:rPr>
          <w:rFonts w:cs="Arial"/>
          <w:color w:val="000000"/>
          <w:lang w:val="fr-FR"/>
        </w:rPr>
        <w:t xml:space="preserve"> </w:t>
      </w:r>
      <w:r w:rsidRPr="00DE6389">
        <w:rPr>
          <w:rFonts w:cs="Arial"/>
          <w:color w:val="000000"/>
          <w:lang w:val="fr-FR"/>
        </w:rPr>
        <w:t>L’IFP a non seulement étendu son offre, mais a également développé des outils de soutien afin de favoriser l’attention pour la sécurité alimentaire et la qualité sur le lieu de travail :</w:t>
      </w:r>
      <w:r w:rsidR="005B01FC" w:rsidRPr="007F1538">
        <w:rPr>
          <w:rFonts w:cs="Arial"/>
          <w:color w:val="000000"/>
          <w:lang w:val="fr-FR"/>
        </w:rPr>
        <w:t xml:space="preserve"> </w:t>
      </w:r>
      <w:r w:rsidRPr="00DE6389">
        <w:rPr>
          <w:rFonts w:cs="Arial"/>
          <w:color w:val="000000"/>
          <w:lang w:val="fr-FR"/>
        </w:rPr>
        <w:t>‘Une mouche dans le potage’ et ‘Conseils d’apprentissage pour la sécurité alimentaire’, ainsi qu’un thème fixe pour les plateformes alimentaires.</w:t>
      </w:r>
    </w:p>
    <w:p w:rsidR="005B01FC" w:rsidRPr="007F1538" w:rsidRDefault="005B01FC"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5B01FC"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DE6389">
        <w:rPr>
          <w:rFonts w:cs="Arial"/>
          <w:i/>
          <w:color w:val="000000"/>
          <w:shd w:val="pct70" w:color="FFFFFF" w:fill="auto"/>
          <w:lang w:val="fr-FR"/>
        </w:rPr>
        <w:t>Formations techniques</w:t>
      </w:r>
    </w:p>
    <w:p w:rsidR="005B01FC" w:rsidRPr="007F1538" w:rsidRDefault="005B01FC"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024FC3"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D30409">
        <w:rPr>
          <w:rFonts w:cs="Arial"/>
          <w:color w:val="000000"/>
          <w:shd w:val="pct70" w:color="FFFFFF" w:fill="auto"/>
          <w:lang w:val="fr-FR"/>
        </w:rPr>
        <w:t xml:space="preserve">Les formations techniques </w:t>
      </w:r>
      <w:r w:rsidR="00637A6F">
        <w:rPr>
          <w:rFonts w:cs="Arial"/>
          <w:color w:val="000000"/>
          <w:shd w:val="pct70" w:color="FFFFFF" w:fill="auto"/>
          <w:lang w:val="fr-FR"/>
        </w:rPr>
        <w:t>représentent</w:t>
      </w:r>
      <w:r w:rsidRPr="00D30409">
        <w:rPr>
          <w:rFonts w:cs="Arial"/>
          <w:color w:val="000000"/>
          <w:shd w:val="pct70" w:color="FFFFFF" w:fill="auto"/>
          <w:lang w:val="fr-FR"/>
        </w:rPr>
        <w:t xml:space="preserve"> la catégorie de formations qui </w:t>
      </w:r>
      <w:r w:rsidR="00D30409" w:rsidRPr="00D30409">
        <w:rPr>
          <w:rFonts w:cs="Arial"/>
          <w:color w:val="000000"/>
          <w:shd w:val="pct70" w:color="FFFFFF" w:fill="auto"/>
          <w:lang w:val="fr-FR"/>
        </w:rPr>
        <w:t>a</w:t>
      </w:r>
      <w:r w:rsidRPr="00D30409">
        <w:rPr>
          <w:rFonts w:cs="Arial"/>
          <w:color w:val="000000"/>
          <w:shd w:val="pct70" w:color="FFFFFF" w:fill="auto"/>
          <w:lang w:val="fr-FR"/>
        </w:rPr>
        <w:t xml:space="preserve"> vraisemblablement connu l'évolution la plus importante.</w:t>
      </w:r>
      <w:r w:rsidR="005B01FC" w:rsidRPr="007F1538">
        <w:rPr>
          <w:rFonts w:cs="Arial"/>
          <w:color w:val="000000"/>
          <w:lang w:val="fr-FR"/>
        </w:rPr>
        <w:t xml:space="preserve"> </w:t>
      </w:r>
      <w:r w:rsidRPr="00D30409">
        <w:rPr>
          <w:rFonts w:cs="Arial"/>
          <w:color w:val="000000"/>
          <w:shd w:val="pct70" w:color="FFFFFF" w:fill="auto"/>
          <w:lang w:val="fr-FR"/>
        </w:rPr>
        <w:t xml:space="preserve">Les anciennes formations ‘électricité’ et ‘électromécanique’ pour les collaborateurs du service technique ont été progressivement enrichies par des trajets </w:t>
      </w:r>
      <w:r w:rsidR="00637A6F">
        <w:rPr>
          <w:rFonts w:cs="Arial"/>
          <w:color w:val="000000"/>
          <w:shd w:val="pct70" w:color="FFFFFF" w:fill="auto"/>
          <w:lang w:val="fr-FR"/>
        </w:rPr>
        <w:t xml:space="preserve">de développement de compétences des opérateurs </w:t>
      </w:r>
      <w:r w:rsidRPr="00D30409">
        <w:rPr>
          <w:rFonts w:cs="Arial"/>
          <w:color w:val="000000"/>
          <w:shd w:val="pct70" w:color="FFFFFF" w:fill="auto"/>
          <w:lang w:val="fr-FR"/>
        </w:rPr>
        <w:t>de production.</w:t>
      </w:r>
      <w:r w:rsidR="00184857" w:rsidRPr="007F1538">
        <w:rPr>
          <w:rFonts w:cs="Arial"/>
          <w:color w:val="000000"/>
          <w:lang w:val="fr-FR"/>
        </w:rPr>
        <w:t xml:space="preserve"> </w:t>
      </w:r>
      <w:r w:rsidRPr="00DE6389">
        <w:rPr>
          <w:rFonts w:cs="Arial"/>
          <w:color w:val="000000"/>
          <w:lang w:val="fr-FR"/>
        </w:rPr>
        <w:t>Ils acquièrent ainsi le bagage technique nécessaire, notamment pour notifier des erreurs, résoudre de petites pannes, effectuer des entretiens préventifs,…</w:t>
      </w:r>
      <w:r w:rsidR="0066213B" w:rsidRPr="007F1538">
        <w:rPr>
          <w:rFonts w:cs="Arial"/>
          <w:color w:val="000000"/>
          <w:lang w:val="fr-FR"/>
        </w:rPr>
        <w:t xml:space="preserve"> </w:t>
      </w:r>
    </w:p>
    <w:p w:rsidR="00295A48" w:rsidRPr="007F1538" w:rsidRDefault="00295A48"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02239E"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DE6389">
        <w:rPr>
          <w:rFonts w:cs="Arial"/>
          <w:i/>
          <w:color w:val="000000"/>
          <w:lang w:val="fr-FR"/>
        </w:rPr>
        <w:t>Technologie alimentaire</w:t>
      </w:r>
    </w:p>
    <w:p w:rsidR="005B01FC" w:rsidRPr="007F1538" w:rsidRDefault="005B01FC" w:rsidP="00DE6389">
      <w:pPr>
        <w:pBdr>
          <w:top w:val="single" w:sz="4" w:space="2" w:color="C0C0C0"/>
          <w:left w:val="single" w:sz="4" w:space="2" w:color="C0C0C0"/>
          <w:bottom w:val="single" w:sz="4" w:space="2" w:color="C0C0C0"/>
          <w:right w:val="single" w:sz="4" w:space="2" w:color="C0C0C0"/>
        </w:pBdr>
        <w:shd w:val="pct70" w:color="FFFFFF" w:fill="C0C0C0"/>
        <w:ind w:firstLine="709"/>
        <w:rPr>
          <w:rFonts w:cs="Arial"/>
          <w:color w:val="000000"/>
          <w:lang w:val="fr-FR"/>
        </w:rPr>
      </w:pPr>
    </w:p>
    <w:p w:rsidR="00336C00"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DE6389">
        <w:rPr>
          <w:rFonts w:cs="Arial"/>
          <w:color w:val="000000"/>
          <w:lang w:val="fr-FR"/>
        </w:rPr>
        <w:t>Les formations en technologie alimentaire sont relativement récentes.</w:t>
      </w:r>
      <w:r w:rsidR="00CB09D4" w:rsidRPr="007F1538">
        <w:rPr>
          <w:rFonts w:cs="Arial"/>
          <w:color w:val="000000"/>
          <w:lang w:val="fr-FR"/>
        </w:rPr>
        <w:t xml:space="preserve"> </w:t>
      </w:r>
      <w:r w:rsidRPr="00DE6389">
        <w:rPr>
          <w:rFonts w:cs="Arial"/>
          <w:color w:val="000000"/>
          <w:lang w:val="fr-FR"/>
        </w:rPr>
        <w:t>Elles ont été mises en place notamment en collaboration avec les plateformes d’innovation de l’industrie alimentaire Flanders Food (pour la Flandre) et WagrALIM (pour la Wallonie).</w:t>
      </w:r>
      <w:r w:rsidR="001A4BB1" w:rsidRPr="007F1538">
        <w:rPr>
          <w:rFonts w:cs="Arial"/>
          <w:color w:val="000000"/>
          <w:lang w:val="fr-FR"/>
        </w:rPr>
        <w:t xml:space="preserve"> </w:t>
      </w:r>
      <w:r w:rsidRPr="00DE6389">
        <w:rPr>
          <w:rFonts w:cs="Arial"/>
          <w:color w:val="000000"/>
          <w:lang w:val="fr-FR"/>
        </w:rPr>
        <w:t>Ces dernières années, les innovations dans le domaine des produits et des processus ont connu une telle évolution que les travailleurs, qu’ils soient ouvriers ou employés, doivent être à même de les suivre.</w:t>
      </w:r>
      <w:r w:rsidR="0066213B" w:rsidRPr="007F1538">
        <w:rPr>
          <w:rFonts w:cs="Arial"/>
          <w:color w:val="000000"/>
          <w:lang w:val="fr-FR"/>
        </w:rPr>
        <w:t xml:space="preserve"> </w:t>
      </w:r>
      <w:r w:rsidRPr="00983E86">
        <w:rPr>
          <w:rFonts w:cs="Arial"/>
          <w:color w:val="000000"/>
          <w:shd w:val="pct70" w:color="FFFFFF" w:fill="auto"/>
          <w:lang w:val="fr-FR"/>
        </w:rPr>
        <w:t>Les nouvea</w:t>
      </w:r>
      <w:r w:rsidR="00983E86" w:rsidRPr="00983E86">
        <w:rPr>
          <w:rFonts w:cs="Arial"/>
          <w:color w:val="000000"/>
          <w:shd w:val="pct70" w:color="FFFFFF" w:fill="auto"/>
          <w:lang w:val="fr-FR"/>
        </w:rPr>
        <w:t>ux engagés ont également besoin</w:t>
      </w:r>
      <w:r w:rsidRPr="00983E86">
        <w:rPr>
          <w:rFonts w:cs="Arial"/>
          <w:color w:val="000000"/>
          <w:shd w:val="pct70" w:color="FFFFFF" w:fill="auto"/>
          <w:lang w:val="fr-FR"/>
        </w:rPr>
        <w:t xml:space="preserve"> de connaissances spécifiques sur les produits, les principes et les processus.</w:t>
      </w:r>
    </w:p>
    <w:p w:rsidR="00DD302E" w:rsidRPr="007F1538" w:rsidRDefault="00DD302E"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DD302E" w:rsidRPr="007F1538" w:rsidRDefault="00DE6389" w:rsidP="00DE6389">
      <w:pPr>
        <w:pBdr>
          <w:top w:val="single" w:sz="4" w:space="2" w:color="C0C0C0"/>
          <w:left w:val="single" w:sz="4" w:space="2" w:color="C0C0C0"/>
          <w:bottom w:val="single" w:sz="4" w:space="2" w:color="C0C0C0"/>
          <w:right w:val="single" w:sz="4" w:space="2" w:color="C0C0C0"/>
        </w:pBdr>
        <w:shd w:val="pct70" w:color="FFFFFF" w:fill="C0C0C0"/>
        <w:jc w:val="center"/>
        <w:rPr>
          <w:rFonts w:cs="Arial"/>
          <w:color w:val="000000"/>
          <w:lang w:val="fr-FR"/>
        </w:rPr>
      </w:pPr>
      <w:r w:rsidRPr="00DE6389">
        <w:rPr>
          <w:rFonts w:cs="Arial"/>
          <w:i/>
          <w:color w:val="000000"/>
          <w:shd w:val="pct70" w:color="FFFFFF" w:fill="auto"/>
          <w:lang w:val="fr-FR"/>
        </w:rPr>
        <w:t>De plus en plus de formateurs</w:t>
      </w:r>
    </w:p>
    <w:p w:rsidR="0002239E" w:rsidRPr="007F1538" w:rsidRDefault="0002239E" w:rsidP="00DE6389">
      <w:pPr>
        <w:pBdr>
          <w:top w:val="single" w:sz="4" w:space="2" w:color="C0C0C0"/>
          <w:left w:val="single" w:sz="4" w:space="2" w:color="C0C0C0"/>
          <w:bottom w:val="single" w:sz="4" w:space="2" w:color="C0C0C0"/>
          <w:right w:val="single" w:sz="4" w:space="2" w:color="C0C0C0"/>
        </w:pBdr>
        <w:shd w:val="pct70" w:color="FFFFFF" w:fill="C0C0C0"/>
        <w:rPr>
          <w:rFonts w:cs="Arial"/>
          <w:color w:val="000000"/>
          <w:highlight w:val="yellow"/>
          <w:lang w:val="fr-FR"/>
        </w:rPr>
      </w:pPr>
    </w:p>
    <w:p w:rsidR="00DD302E" w:rsidRPr="007F1538" w:rsidRDefault="00DE6389" w:rsidP="00DE6389">
      <w:pPr>
        <w:pBdr>
          <w:top w:val="single" w:sz="4" w:space="1" w:color="auto"/>
          <w:left w:val="single" w:sz="4" w:space="1" w:color="auto"/>
          <w:bottom w:val="single" w:sz="4" w:space="1" w:color="auto"/>
          <w:right w:val="single" w:sz="4" w:space="1" w:color="auto"/>
        </w:pBdr>
        <w:rPr>
          <w:rFonts w:cs="Arial"/>
          <w:color w:val="000000"/>
          <w:lang w:val="fr-FR"/>
        </w:rPr>
      </w:pPr>
      <w:r w:rsidRPr="00DE6389">
        <w:rPr>
          <w:rFonts w:cs="Arial"/>
          <w:color w:val="000000"/>
          <w:lang w:val="fr-FR"/>
        </w:rPr>
        <w:lastRenderedPageBreak/>
        <w:t>Le nombre de formateurs a fortement augmenté pour toutes les rubriques de formation.</w:t>
      </w:r>
      <w:r w:rsidR="00DD302E" w:rsidRPr="007F1538">
        <w:rPr>
          <w:rFonts w:cs="Arial"/>
          <w:color w:val="000000"/>
          <w:lang w:val="fr-FR"/>
        </w:rPr>
        <w:t xml:space="preserve"> </w:t>
      </w:r>
      <w:r w:rsidRPr="00983E86">
        <w:rPr>
          <w:rFonts w:cs="Arial"/>
          <w:color w:val="000000"/>
          <w:shd w:val="pct70" w:color="FFFFFF" w:fill="auto"/>
          <w:lang w:val="fr-FR"/>
        </w:rPr>
        <w:t>Chaque organisme</w:t>
      </w:r>
      <w:r w:rsidR="00983E86" w:rsidRPr="00983E86">
        <w:rPr>
          <w:rFonts w:cs="Arial"/>
          <w:color w:val="000000"/>
          <w:shd w:val="pct70" w:color="FFFFFF" w:fill="auto"/>
          <w:lang w:val="fr-FR"/>
        </w:rPr>
        <w:t xml:space="preserve"> de formation qui satisfait à u</w:t>
      </w:r>
      <w:r w:rsidRPr="00983E86">
        <w:rPr>
          <w:rFonts w:cs="Arial"/>
          <w:color w:val="000000"/>
          <w:shd w:val="pct70" w:color="FFFFFF" w:fill="auto"/>
          <w:lang w:val="fr-FR"/>
        </w:rPr>
        <w:t>n</w:t>
      </w:r>
      <w:r w:rsidR="00983E86" w:rsidRPr="00983E86">
        <w:rPr>
          <w:rFonts w:cs="Arial"/>
          <w:color w:val="000000"/>
          <w:shd w:val="pct70" w:color="FFFFFF" w:fill="auto"/>
          <w:lang w:val="fr-FR"/>
        </w:rPr>
        <w:t>e</w:t>
      </w:r>
      <w:r w:rsidRPr="00983E86">
        <w:rPr>
          <w:rFonts w:cs="Arial"/>
          <w:color w:val="000000"/>
          <w:shd w:val="pct70" w:color="FFFFFF" w:fill="auto"/>
          <w:lang w:val="fr-FR"/>
        </w:rPr>
        <w:t xml:space="preserve"> série d’exigences de qualité</w:t>
      </w:r>
      <w:r w:rsidRPr="00983E86">
        <w:rPr>
          <w:rStyle w:val="FootnoteReference"/>
          <w:rFonts w:cs="Arial"/>
          <w:color w:val="000000"/>
          <w:shd w:val="pct70" w:color="FFFFFF" w:fill="auto"/>
          <w:lang w:val="fr-FR"/>
        </w:rPr>
        <w:footnoteReference w:id="6"/>
      </w:r>
      <w:r w:rsidRPr="00983E86">
        <w:rPr>
          <w:rFonts w:cs="Arial"/>
          <w:color w:val="000000"/>
          <w:shd w:val="pct70" w:color="FFFFFF" w:fill="auto"/>
          <w:lang w:val="fr-FR"/>
        </w:rPr>
        <w:t xml:space="preserve"> peut proposer des formations aux entreprises alimentaires. </w:t>
      </w:r>
    </w:p>
    <w:p w:rsidR="0002239E" w:rsidRPr="007F1538" w:rsidRDefault="0002239E">
      <w:pPr>
        <w:rPr>
          <w:rFonts w:cs="Arial"/>
          <w:lang w:val="fr-FR"/>
        </w:rPr>
      </w:pPr>
    </w:p>
    <w:p w:rsidR="00A73AD2" w:rsidRPr="007F1538" w:rsidRDefault="00DE6389">
      <w:pPr>
        <w:rPr>
          <w:rFonts w:cs="Arial"/>
          <w:lang w:val="fr-FR"/>
        </w:rPr>
      </w:pPr>
      <w:r w:rsidRPr="00DE6389">
        <w:rPr>
          <w:rFonts w:cs="Arial"/>
          <w:lang w:val="fr-FR"/>
        </w:rPr>
        <w:t>Notre analyse montre qu’année après année, nous parvenons à toucher davantage de PME par nos formations spécifiques au secteur.</w:t>
      </w:r>
      <w:r w:rsidR="00450F3D" w:rsidRPr="007F1538">
        <w:rPr>
          <w:rFonts w:cs="Arial"/>
          <w:lang w:val="fr-FR"/>
        </w:rPr>
        <w:t xml:space="preserve"> </w:t>
      </w:r>
      <w:r w:rsidRPr="00DE6389">
        <w:rPr>
          <w:rFonts w:cs="Arial"/>
          <w:lang w:val="fr-FR"/>
        </w:rPr>
        <w:t xml:space="preserve">Les formations relatives à la </w:t>
      </w:r>
      <w:r w:rsidRPr="0001611B">
        <w:rPr>
          <w:rFonts w:cs="Arial"/>
          <w:lang w:val="fr-FR"/>
        </w:rPr>
        <w:t xml:space="preserve">sécurité </w:t>
      </w:r>
      <w:r w:rsidR="00637A6F" w:rsidRPr="0001611B">
        <w:rPr>
          <w:rFonts w:cs="Arial"/>
          <w:lang w:val="fr-FR"/>
        </w:rPr>
        <w:t>et au bien-être au travail</w:t>
      </w:r>
      <w:r w:rsidRPr="00DE6389">
        <w:rPr>
          <w:rFonts w:cs="Arial"/>
          <w:lang w:val="fr-FR"/>
        </w:rPr>
        <w:t xml:space="preserve"> attir</w:t>
      </w:r>
      <w:r w:rsidR="00637A6F">
        <w:rPr>
          <w:rFonts w:cs="Arial"/>
          <w:lang w:val="fr-FR"/>
        </w:rPr>
        <w:t>ent également de plus en plus l’</w:t>
      </w:r>
      <w:r w:rsidRPr="00DE6389">
        <w:rPr>
          <w:rFonts w:cs="Arial"/>
          <w:lang w:val="fr-FR"/>
        </w:rPr>
        <w:t>attention de ces entreprises.</w:t>
      </w:r>
      <w:r w:rsidR="00CE7819" w:rsidRPr="007F1538">
        <w:rPr>
          <w:rFonts w:cs="Arial"/>
          <w:lang w:val="fr-FR"/>
        </w:rPr>
        <w:t xml:space="preserve"> </w:t>
      </w:r>
      <w:r w:rsidRPr="00DE6389">
        <w:rPr>
          <w:rFonts w:cs="Arial"/>
          <w:lang w:val="fr-FR"/>
        </w:rPr>
        <w:t>Dans les entreprises comptant moins de 10 travailleurs, la part de cette formation a énormément augmenté, passant de 69% à 85%.</w:t>
      </w:r>
    </w:p>
    <w:p w:rsidR="001036FD" w:rsidRPr="007F1538" w:rsidRDefault="001036FD">
      <w:pPr>
        <w:rPr>
          <w:rFonts w:cs="Arial"/>
          <w:lang w:val="fr-FR"/>
        </w:rPr>
      </w:pPr>
    </w:p>
    <w:p w:rsidR="001036FD" w:rsidRDefault="00DE6389">
      <w:pPr>
        <w:rPr>
          <w:rFonts w:cs="Arial"/>
          <w:lang w:val="fr-FR"/>
        </w:rPr>
      </w:pPr>
      <w:r w:rsidRPr="00DE6389">
        <w:rPr>
          <w:rFonts w:cs="Arial"/>
          <w:lang w:val="fr-FR"/>
        </w:rPr>
        <w:t>Répartitions des participants en 2009 selon la rubrique de formation et la taille de leur employeur</w:t>
      </w:r>
    </w:p>
    <w:p w:rsidR="00BC73C2" w:rsidRPr="007F1538" w:rsidRDefault="00BC73C2">
      <w:pPr>
        <w:rPr>
          <w:rFonts w:cs="Arial"/>
          <w:lang w:val="fr-FR"/>
        </w:rPr>
      </w:pPr>
    </w:p>
    <w:p w:rsidR="00A73AD2" w:rsidRPr="007F1538" w:rsidRDefault="00462A51">
      <w:pPr>
        <w:rPr>
          <w:lang w:val="fr-FR"/>
        </w:rPr>
      </w:pPr>
      <w:r w:rsidRPr="007F1538">
        <w:rPr>
          <w:noProof/>
          <w:lang w:eastAsia="nl-BE"/>
        </w:rPr>
        <w:drawing>
          <wp:inline distT="0" distB="0" distL="0" distR="0">
            <wp:extent cx="5946271" cy="2688853"/>
            <wp:effectExtent l="12189" t="6087" r="6095"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73C2" w:rsidRDefault="00BC73C2" w:rsidP="00BC73C2">
      <w:pPr>
        <w:rPr>
          <w:lang w:val="fr-FR"/>
        </w:rPr>
      </w:pPr>
      <w:bookmarkStart w:id="71" w:name="_Toc231044719"/>
      <w:bookmarkStart w:id="72" w:name="_Toc233192578"/>
    </w:p>
    <w:p w:rsidR="00BC73C2" w:rsidRPr="00BC73C2" w:rsidRDefault="00BC73C2" w:rsidP="00BC73C2">
      <w:pPr>
        <w:rPr>
          <w:highlight w:val="cyan"/>
        </w:rPr>
      </w:pPr>
      <w:r w:rsidRPr="00BC73C2">
        <w:rPr>
          <w:highlight w:val="cyan"/>
        </w:rPr>
        <w:t>Omzetting naar FRANS – Nicole kan jij dit in de afbeelding doen ?:</w:t>
      </w:r>
    </w:p>
    <w:p w:rsidR="00BC73C2" w:rsidRPr="00155756" w:rsidRDefault="00BC73C2" w:rsidP="00BC73C2">
      <w:pPr>
        <w:rPr>
          <w:highlight w:val="cyan"/>
        </w:rPr>
      </w:pPr>
    </w:p>
    <w:p w:rsidR="00BC73C2" w:rsidRDefault="00BC73C2" w:rsidP="00BC73C2">
      <w:pPr>
        <w:rPr>
          <w:lang w:val="fr-FR"/>
        </w:rPr>
      </w:pPr>
      <w:r w:rsidRPr="00BC73C2">
        <w:rPr>
          <w:highlight w:val="cyan"/>
          <w:lang w:val="fr-FR"/>
        </w:rPr>
        <w:t>Admin Communication Informatique Logistique Spécifique du secteur Langues Technique Sécurité et environnement</w:t>
      </w:r>
    </w:p>
    <w:p w:rsidR="00BC73C2" w:rsidRDefault="00BC73C2" w:rsidP="00BC73C2">
      <w:pPr>
        <w:rPr>
          <w:lang w:val="fr-FR"/>
        </w:rPr>
      </w:pPr>
    </w:p>
    <w:p w:rsidR="00BC73C2" w:rsidRDefault="00BC73C2" w:rsidP="00BC73C2">
      <w:pPr>
        <w:rPr>
          <w:lang w:val="fr-FR"/>
        </w:rPr>
      </w:pPr>
      <w:r w:rsidRPr="00BC73C2">
        <w:rPr>
          <w:highlight w:val="cyan"/>
          <w:lang w:val="fr-FR"/>
        </w:rPr>
        <w:t>WN vervangen door Trav.</w:t>
      </w:r>
    </w:p>
    <w:p w:rsidR="00BC73C2" w:rsidRDefault="00BC73C2" w:rsidP="00BC73C2">
      <w:pPr>
        <w:rPr>
          <w:lang w:val="fr-FR"/>
        </w:rPr>
      </w:pPr>
    </w:p>
    <w:p w:rsidR="00BC73C2" w:rsidRDefault="00BC73C2" w:rsidP="00BC73C2">
      <w:pPr>
        <w:rPr>
          <w:lang w:val="fr-FR"/>
        </w:rPr>
      </w:pPr>
    </w:p>
    <w:p w:rsidR="000349C3" w:rsidRPr="007F1538" w:rsidRDefault="00B06AE3" w:rsidP="00DE6389">
      <w:pPr>
        <w:pStyle w:val="Heading2"/>
        <w:rPr>
          <w:lang w:val="fr-FR"/>
        </w:rPr>
      </w:pPr>
      <w:r w:rsidRPr="007F1538">
        <w:rPr>
          <w:lang w:val="fr-FR"/>
        </w:rPr>
        <w:br w:type="page"/>
      </w:r>
      <w:bookmarkStart w:id="73" w:name="_Toc267060130"/>
      <w:bookmarkStart w:id="74" w:name="_Toc269220684"/>
      <w:bookmarkEnd w:id="71"/>
      <w:bookmarkEnd w:id="72"/>
      <w:r w:rsidR="00DE6389" w:rsidRPr="00DE6389">
        <w:rPr>
          <w:lang w:val="fr-FR"/>
        </w:rPr>
        <w:lastRenderedPageBreak/>
        <w:t>Information, conseils et développement d’outils</w:t>
      </w:r>
      <w:bookmarkEnd w:id="73"/>
      <w:bookmarkEnd w:id="74"/>
    </w:p>
    <w:p w:rsidR="008645B2" w:rsidRPr="007F1538" w:rsidRDefault="00DE6389" w:rsidP="00EE0B98">
      <w:pPr>
        <w:rPr>
          <w:rFonts w:cs="Arial"/>
          <w:color w:val="000000"/>
          <w:lang w:val="fr-FR"/>
        </w:rPr>
      </w:pPr>
      <w:r w:rsidRPr="00DE6389">
        <w:rPr>
          <w:rFonts w:cs="Arial"/>
          <w:color w:val="000000"/>
          <w:lang w:val="fr-FR"/>
        </w:rPr>
        <w:t>L’organisation et le soutien financier aux formations sont également resté</w:t>
      </w:r>
      <w:r w:rsidR="007E1736">
        <w:rPr>
          <w:rFonts w:cs="Arial"/>
          <w:color w:val="000000"/>
          <w:lang w:val="fr-FR"/>
        </w:rPr>
        <w:t>e</w:t>
      </w:r>
      <w:r w:rsidRPr="00DE6389">
        <w:rPr>
          <w:rFonts w:cs="Arial"/>
          <w:color w:val="000000"/>
          <w:lang w:val="fr-FR"/>
        </w:rPr>
        <w:t>s les principales missions de l’IFP en 2009.</w:t>
      </w:r>
      <w:r w:rsidR="00EE0B98" w:rsidRPr="007F1538">
        <w:rPr>
          <w:rFonts w:cs="Arial"/>
          <w:color w:val="000000"/>
          <w:lang w:val="fr-FR"/>
        </w:rPr>
        <w:t xml:space="preserve"> </w:t>
      </w:r>
      <w:r w:rsidRPr="00DE6389">
        <w:rPr>
          <w:rFonts w:cs="Arial"/>
          <w:color w:val="000000"/>
          <w:lang w:val="fr-FR"/>
        </w:rPr>
        <w:t>Mais apprendre, c’est plus que simplement former.</w:t>
      </w:r>
      <w:r w:rsidR="00EE0B98" w:rsidRPr="007F1538">
        <w:rPr>
          <w:rFonts w:cs="Arial"/>
          <w:color w:val="000000"/>
          <w:lang w:val="fr-FR"/>
        </w:rPr>
        <w:t xml:space="preserve"> </w:t>
      </w:r>
      <w:r w:rsidRPr="00DE6389">
        <w:rPr>
          <w:rFonts w:cs="Arial"/>
          <w:color w:val="000000"/>
          <w:lang w:val="fr-FR"/>
        </w:rPr>
        <w:t>C’est la raison pour laquelle l’IFP stimule également la gestion et le développement des compétences dans les entreprises du secteur alimentaire par toutes sortes d'actions :</w:t>
      </w:r>
      <w:r w:rsidR="00B80363" w:rsidRPr="007F1538">
        <w:rPr>
          <w:rFonts w:cs="Arial"/>
          <w:color w:val="000000"/>
          <w:lang w:val="fr-FR"/>
        </w:rPr>
        <w:t xml:space="preserve"> </w:t>
      </w:r>
      <w:r w:rsidRPr="00DE6389">
        <w:rPr>
          <w:rFonts w:cs="Arial"/>
          <w:color w:val="000000"/>
          <w:lang w:val="fr-FR"/>
        </w:rPr>
        <w:t>visites d’entreprise, réseautage, conseil sur mesures, outils de support,…</w:t>
      </w:r>
      <w:r w:rsidR="00EF58E2" w:rsidRPr="007F1538">
        <w:rPr>
          <w:rFonts w:cs="Arial"/>
          <w:color w:val="000000"/>
          <w:lang w:val="fr-FR"/>
        </w:rPr>
        <w:t xml:space="preserve"> </w:t>
      </w:r>
    </w:p>
    <w:p w:rsidR="00DD302E" w:rsidRPr="007F1538" w:rsidRDefault="00DD302E" w:rsidP="00EE0B98">
      <w:pPr>
        <w:rPr>
          <w:rFonts w:cs="Arial"/>
          <w:color w:val="000000"/>
          <w:lang w:val="fr-FR"/>
        </w:rPr>
      </w:pPr>
    </w:p>
    <w:p w:rsidR="00EF3F59" w:rsidRPr="007F1538" w:rsidRDefault="00DE6389" w:rsidP="00DE6389">
      <w:pPr>
        <w:pStyle w:val="Heading3"/>
        <w:rPr>
          <w:lang w:val="fr-FR"/>
        </w:rPr>
      </w:pPr>
      <w:bookmarkStart w:id="75" w:name="_Toc231044721"/>
      <w:bookmarkStart w:id="76" w:name="_Toc233192579"/>
      <w:bookmarkStart w:id="77" w:name="_Toc233194344"/>
      <w:bookmarkStart w:id="78" w:name="_Toc233194499"/>
      <w:bookmarkStart w:id="79" w:name="_Toc233607056"/>
      <w:bookmarkStart w:id="80" w:name="_Toc263170602"/>
      <w:bookmarkStart w:id="81" w:name="_Toc267060131"/>
      <w:bookmarkStart w:id="82" w:name="_Toc269220685"/>
      <w:r w:rsidRPr="00DE6389">
        <w:rPr>
          <w:lang w:val="fr-FR"/>
        </w:rPr>
        <w:t>Information :</w:t>
      </w:r>
      <w:r w:rsidR="00EF3F59" w:rsidRPr="007F1538">
        <w:rPr>
          <w:lang w:val="fr-FR"/>
        </w:rPr>
        <w:t xml:space="preserve"> </w:t>
      </w:r>
      <w:bookmarkEnd w:id="75"/>
      <w:bookmarkEnd w:id="76"/>
      <w:bookmarkEnd w:id="77"/>
      <w:bookmarkEnd w:id="78"/>
      <w:bookmarkEnd w:id="79"/>
      <w:bookmarkEnd w:id="80"/>
      <w:r w:rsidRPr="00DE6389">
        <w:rPr>
          <w:lang w:val="fr-FR"/>
        </w:rPr>
        <w:t>les plateformes en vitesse de croisière</w:t>
      </w:r>
      <w:bookmarkEnd w:id="81"/>
      <w:bookmarkEnd w:id="82"/>
      <w:r w:rsidR="00EF3F59" w:rsidRPr="007F1538">
        <w:rPr>
          <w:lang w:val="fr-FR"/>
        </w:rPr>
        <w:t xml:space="preserve"> </w:t>
      </w:r>
    </w:p>
    <w:p w:rsidR="00EF3F59" w:rsidRPr="007F1538" w:rsidRDefault="00EF3F59" w:rsidP="00EE0B98">
      <w:pPr>
        <w:rPr>
          <w:rFonts w:cs="Arial"/>
          <w:color w:val="000000"/>
          <w:lang w:val="fr-FR"/>
        </w:rPr>
      </w:pPr>
    </w:p>
    <w:p w:rsidR="00EE0B98" w:rsidRPr="007F1538" w:rsidRDefault="00DE6389" w:rsidP="00EE0B98">
      <w:pPr>
        <w:rPr>
          <w:rFonts w:cs="Arial"/>
          <w:color w:val="000000"/>
          <w:lang w:val="fr-FR"/>
        </w:rPr>
      </w:pPr>
      <w:r w:rsidRPr="00346596">
        <w:rPr>
          <w:rFonts w:cs="Arial"/>
          <w:color w:val="000000"/>
          <w:lang w:val="fr-FR"/>
        </w:rPr>
        <w:t>En 2009, les conseillers IFP ont réalisé quelque 400 visites en entreprise auprès d’environ 250 entreprises.</w:t>
      </w:r>
      <w:r w:rsidR="00EE0B98" w:rsidRPr="007F1538">
        <w:rPr>
          <w:rFonts w:cs="Arial"/>
          <w:color w:val="000000"/>
          <w:lang w:val="fr-FR"/>
        </w:rPr>
        <w:t xml:space="preserve"> </w:t>
      </w:r>
    </w:p>
    <w:p w:rsidR="00EE0B98" w:rsidRPr="007F1538" w:rsidRDefault="00346596" w:rsidP="00EE0B98">
      <w:pPr>
        <w:rPr>
          <w:rFonts w:cs="Arial"/>
          <w:color w:val="000000"/>
          <w:lang w:val="fr-FR"/>
        </w:rPr>
      </w:pPr>
      <w:r w:rsidRPr="00346596">
        <w:rPr>
          <w:rFonts w:cs="Arial"/>
          <w:color w:val="000000"/>
          <w:lang w:val="fr-FR"/>
        </w:rPr>
        <w:t>Le réseautage s’est également poursuivi sur une base régionale :</w:t>
      </w:r>
      <w:r w:rsidR="00595AD6" w:rsidRPr="007F1538">
        <w:rPr>
          <w:rFonts w:cs="Arial"/>
          <w:color w:val="000000"/>
          <w:lang w:val="fr-FR"/>
        </w:rPr>
        <w:t xml:space="preserve"> </w:t>
      </w:r>
      <w:r w:rsidRPr="00346596">
        <w:rPr>
          <w:rFonts w:cs="Arial"/>
          <w:color w:val="000000"/>
          <w:lang w:val="fr-FR"/>
        </w:rPr>
        <w:t>près de 300 participants ont pris part à 41 plateformes différentes.</w:t>
      </w:r>
      <w:r w:rsidR="00BD43A8" w:rsidRPr="007F1538">
        <w:rPr>
          <w:rFonts w:cs="Arial"/>
          <w:color w:val="000000"/>
          <w:lang w:val="fr-FR"/>
        </w:rPr>
        <w:t xml:space="preserve"> </w:t>
      </w:r>
    </w:p>
    <w:p w:rsidR="00BD43A8" w:rsidRPr="007F1538" w:rsidRDefault="00BD43A8" w:rsidP="00EE0B98">
      <w:pPr>
        <w:rPr>
          <w:rFonts w:cs="Arial"/>
          <w:color w:val="000000"/>
          <w:lang w:val="fr-FR"/>
        </w:rPr>
      </w:pPr>
    </w:p>
    <w:p w:rsidR="00EE0B98" w:rsidRPr="007F1538" w:rsidRDefault="007A50E0" w:rsidP="00346596">
      <w:pPr>
        <w:spacing w:after="60"/>
        <w:rPr>
          <w:rFonts w:cs="Arial"/>
          <w:color w:val="000000"/>
          <w:lang w:val="fr-FR"/>
        </w:rPr>
      </w:pPr>
      <w:r>
        <w:rPr>
          <w:rFonts w:cs="Arial"/>
          <w:color w:val="000000"/>
          <w:lang w:val="fr-FR"/>
        </w:rPr>
        <w:t>Tableau 21</w:t>
      </w:r>
      <w:r w:rsidR="00346596" w:rsidRPr="00346596">
        <w:rPr>
          <w:rFonts w:cs="Arial"/>
          <w:color w:val="000000"/>
          <w:lang w:val="fr-FR"/>
        </w:rPr>
        <w:t> : Aperçu contacts professionnels dans le cadre de la mission de conseils</w:t>
      </w:r>
    </w:p>
    <w:tbl>
      <w:tblPr>
        <w:tblW w:w="9077" w:type="dxa"/>
        <w:tblInd w:w="103" w:type="dxa"/>
        <w:tblLook w:val="0000"/>
      </w:tblPr>
      <w:tblGrid>
        <w:gridCol w:w="2854"/>
        <w:gridCol w:w="979"/>
        <w:gridCol w:w="708"/>
        <w:gridCol w:w="1134"/>
        <w:gridCol w:w="1134"/>
        <w:gridCol w:w="1134"/>
        <w:gridCol w:w="1134"/>
      </w:tblGrid>
      <w:tr w:rsidR="00A24E41" w:rsidRPr="007F1538" w:rsidTr="00346596">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A24E41" w:rsidRPr="007F1538" w:rsidRDefault="00A24E41" w:rsidP="00674845">
            <w:pPr>
              <w:jc w:val="center"/>
              <w:rPr>
                <w:rFonts w:cs="Arial"/>
                <w:color w:val="000000"/>
                <w:lang w:val="fr-FR"/>
              </w:rPr>
            </w:pPr>
          </w:p>
        </w:tc>
        <w:tc>
          <w:tcPr>
            <w:tcW w:w="979"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
                <w:color w:val="000000"/>
                <w:lang w:val="fr-FR"/>
              </w:rPr>
            </w:pPr>
            <w:r w:rsidRPr="007F1538">
              <w:rPr>
                <w:rFonts w:cs="Arial"/>
                <w:b/>
                <w:bCs/>
                <w:iCs/>
                <w:color w:val="000000"/>
                <w:lang w:val="fr-FR"/>
              </w:rPr>
              <w:t>2004</w:t>
            </w:r>
          </w:p>
        </w:tc>
        <w:tc>
          <w:tcPr>
            <w:tcW w:w="708" w:type="dxa"/>
            <w:tcBorders>
              <w:top w:val="single" w:sz="4" w:space="0" w:color="auto"/>
              <w:left w:val="single" w:sz="4" w:space="0" w:color="auto"/>
              <w:bottom w:val="single" w:sz="4" w:space="0" w:color="auto"/>
              <w:right w:val="single" w:sz="4" w:space="0" w:color="auto"/>
            </w:tcBorders>
            <w:vAlign w:val="center"/>
          </w:tcPr>
          <w:p w:rsidR="00A24E41" w:rsidRPr="007F1538" w:rsidRDefault="00A24E41" w:rsidP="00674845">
            <w:pPr>
              <w:jc w:val="center"/>
              <w:rPr>
                <w:rFonts w:cs="Arial"/>
                <w:b/>
                <w:color w:val="000000"/>
                <w:lang w:val="fr-FR"/>
              </w:rPr>
            </w:pPr>
            <w:r w:rsidRPr="007F1538">
              <w:rPr>
                <w:rFonts w:cs="Arial"/>
                <w:b/>
                <w:bCs/>
                <w:iCs/>
                <w:color w:val="000000"/>
                <w:lang w:val="fr-FR"/>
              </w:rPr>
              <w:t>2005</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
                <w:bCs/>
                <w:iCs/>
                <w:color w:val="000000"/>
                <w:lang w:val="fr-FR"/>
              </w:rPr>
            </w:pPr>
            <w:r w:rsidRPr="007F1538">
              <w:rPr>
                <w:rFonts w:cs="Arial"/>
                <w:b/>
                <w:bCs/>
                <w:iCs/>
                <w:color w:val="000000"/>
                <w:lang w:val="fr-FR"/>
              </w:rPr>
              <w:t>2006</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
                <w:color w:val="000000"/>
                <w:lang w:val="fr-FR"/>
              </w:rPr>
            </w:pPr>
            <w:r w:rsidRPr="007F1538">
              <w:rPr>
                <w:rFonts w:cs="Arial"/>
                <w:b/>
                <w:bCs/>
                <w:iCs/>
                <w:color w:val="000000"/>
                <w:lang w:val="fr-FR"/>
              </w:rPr>
              <w:t>2007</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
                <w:color w:val="000000"/>
                <w:lang w:val="fr-FR"/>
              </w:rPr>
            </w:pPr>
            <w:r w:rsidRPr="007F1538">
              <w:rPr>
                <w:rFonts w:cs="Arial"/>
                <w:b/>
                <w:bCs/>
                <w:iCs/>
                <w:color w:val="000000"/>
                <w:lang w:val="fr-FR"/>
              </w:rPr>
              <w:t>2008</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
                <w:bCs/>
                <w:iCs/>
                <w:color w:val="000000"/>
                <w:lang w:val="fr-FR"/>
              </w:rPr>
            </w:pPr>
            <w:r w:rsidRPr="007F1538">
              <w:rPr>
                <w:rFonts w:cs="Arial"/>
                <w:b/>
                <w:bCs/>
                <w:iCs/>
                <w:color w:val="000000"/>
                <w:lang w:val="fr-FR"/>
              </w:rPr>
              <w:t>2009</w:t>
            </w:r>
          </w:p>
        </w:tc>
      </w:tr>
      <w:tr w:rsidR="00A24E41" w:rsidRPr="007F1538" w:rsidTr="00346596">
        <w:tc>
          <w:tcPr>
            <w:tcW w:w="2854" w:type="dxa"/>
            <w:tcBorders>
              <w:top w:val="nil"/>
              <w:left w:val="single" w:sz="4" w:space="0" w:color="auto"/>
              <w:bottom w:val="single" w:sz="4" w:space="0" w:color="auto"/>
              <w:right w:val="single" w:sz="4" w:space="0" w:color="auto"/>
            </w:tcBorders>
            <w:shd w:val="clear" w:color="auto" w:fill="auto"/>
            <w:vAlign w:val="center"/>
          </w:tcPr>
          <w:p w:rsidR="00A24E41" w:rsidRPr="007F1538" w:rsidRDefault="00346596" w:rsidP="00690B4E">
            <w:pPr>
              <w:rPr>
                <w:rFonts w:cs="Arial"/>
                <w:b/>
                <w:color w:val="000000"/>
                <w:lang w:val="fr-FR"/>
              </w:rPr>
            </w:pPr>
            <w:r w:rsidRPr="00346596">
              <w:rPr>
                <w:rFonts w:cs="Arial"/>
                <w:b/>
                <w:bCs/>
                <w:color w:val="000000"/>
                <w:lang w:val="fr-FR"/>
              </w:rPr>
              <w:t>Visites d’entreprise</w:t>
            </w:r>
          </w:p>
        </w:tc>
        <w:tc>
          <w:tcPr>
            <w:tcW w:w="979" w:type="dxa"/>
            <w:tcBorders>
              <w:top w:val="nil"/>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bCs/>
                <w:color w:val="000000"/>
                <w:lang w:val="fr-FR"/>
              </w:rPr>
              <w:t>499</w:t>
            </w:r>
          </w:p>
        </w:tc>
        <w:tc>
          <w:tcPr>
            <w:tcW w:w="708" w:type="dxa"/>
            <w:tcBorders>
              <w:top w:val="single" w:sz="4" w:space="0" w:color="auto"/>
              <w:left w:val="single" w:sz="4" w:space="0" w:color="auto"/>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bCs/>
                <w:color w:val="000000"/>
                <w:lang w:val="fr-FR"/>
              </w:rPr>
              <w:t>522</w:t>
            </w:r>
          </w:p>
        </w:tc>
        <w:tc>
          <w:tcPr>
            <w:tcW w:w="1134" w:type="dxa"/>
            <w:tcBorders>
              <w:top w:val="nil"/>
              <w:left w:val="nil"/>
              <w:bottom w:val="single" w:sz="4" w:space="0" w:color="auto"/>
              <w:right w:val="single" w:sz="4" w:space="0" w:color="auto"/>
            </w:tcBorders>
            <w:vAlign w:val="center"/>
          </w:tcPr>
          <w:p w:rsidR="00A24E41" w:rsidRPr="007F1538" w:rsidRDefault="00A24E41" w:rsidP="00674845">
            <w:pPr>
              <w:jc w:val="center"/>
              <w:rPr>
                <w:rFonts w:cs="Arial"/>
                <w:bCs/>
                <w:color w:val="000000"/>
                <w:lang w:val="fr-FR"/>
              </w:rPr>
            </w:pPr>
            <w:r w:rsidRPr="007F1538">
              <w:rPr>
                <w:rFonts w:cs="Arial"/>
                <w:bCs/>
                <w:color w:val="000000"/>
                <w:lang w:val="fr-FR"/>
              </w:rPr>
              <w:t>547</w:t>
            </w:r>
          </w:p>
        </w:tc>
        <w:tc>
          <w:tcPr>
            <w:tcW w:w="1134" w:type="dxa"/>
            <w:tcBorders>
              <w:top w:val="nil"/>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612</w:t>
            </w:r>
          </w:p>
        </w:tc>
        <w:tc>
          <w:tcPr>
            <w:tcW w:w="1134" w:type="dxa"/>
            <w:tcBorders>
              <w:top w:val="nil"/>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413</w:t>
            </w:r>
          </w:p>
        </w:tc>
        <w:tc>
          <w:tcPr>
            <w:tcW w:w="1134" w:type="dxa"/>
            <w:tcBorders>
              <w:top w:val="nil"/>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419</w:t>
            </w:r>
          </w:p>
        </w:tc>
      </w:tr>
      <w:tr w:rsidR="00A24E41" w:rsidRPr="007F1538" w:rsidTr="00346596">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A24E41" w:rsidRPr="007F1538" w:rsidRDefault="00346596" w:rsidP="00690B4E">
            <w:pPr>
              <w:rPr>
                <w:rFonts w:cs="Arial"/>
                <w:b/>
                <w:color w:val="000000"/>
                <w:lang w:val="fr-FR"/>
              </w:rPr>
            </w:pPr>
            <w:r w:rsidRPr="00346596">
              <w:rPr>
                <w:rFonts w:cs="Arial"/>
                <w:b/>
                <w:bCs/>
                <w:color w:val="000000"/>
                <w:lang w:val="fr-FR"/>
              </w:rPr>
              <w:t>Entreprises individuelles</w:t>
            </w:r>
          </w:p>
        </w:tc>
        <w:tc>
          <w:tcPr>
            <w:tcW w:w="979"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bCs/>
                <w:color w:val="000000"/>
                <w:lang w:val="fr-FR"/>
              </w:rPr>
              <w:t>272</w:t>
            </w:r>
          </w:p>
        </w:tc>
        <w:tc>
          <w:tcPr>
            <w:tcW w:w="708" w:type="dxa"/>
            <w:tcBorders>
              <w:top w:val="single" w:sz="4" w:space="0" w:color="auto"/>
              <w:left w:val="single" w:sz="4" w:space="0" w:color="auto"/>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bCs/>
                <w:color w:val="000000"/>
                <w:lang w:val="fr-FR"/>
              </w:rPr>
              <w:t>286</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Cs/>
                <w:color w:val="000000"/>
                <w:lang w:val="fr-FR"/>
              </w:rPr>
            </w:pPr>
            <w:r w:rsidRPr="007F1538">
              <w:rPr>
                <w:rFonts w:cs="Arial"/>
                <w:bCs/>
                <w:color w:val="000000"/>
                <w:lang w:val="fr-FR"/>
              </w:rPr>
              <w:t>292</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291</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221</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240</w:t>
            </w:r>
          </w:p>
        </w:tc>
      </w:tr>
      <w:tr w:rsidR="00A24E41" w:rsidRPr="007F1538" w:rsidTr="00346596">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A24E41" w:rsidRPr="007F1538" w:rsidRDefault="00346596" w:rsidP="00690B4E">
            <w:pPr>
              <w:rPr>
                <w:rFonts w:cs="Arial"/>
                <w:b/>
                <w:bCs/>
                <w:color w:val="000000"/>
                <w:lang w:val="fr-FR"/>
              </w:rPr>
            </w:pPr>
            <w:r w:rsidRPr="00346596">
              <w:rPr>
                <w:rFonts w:cs="Arial"/>
                <w:b/>
                <w:bCs/>
                <w:color w:val="000000"/>
                <w:lang w:val="fr-FR"/>
              </w:rPr>
              <w:t>Participants plateformes</w:t>
            </w:r>
          </w:p>
        </w:tc>
        <w:tc>
          <w:tcPr>
            <w:tcW w:w="979"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Cs/>
                <w:color w:val="000000"/>
                <w:lang w:val="fr-FR"/>
              </w:rPr>
            </w:pPr>
          </w:p>
        </w:tc>
        <w:tc>
          <w:tcPr>
            <w:tcW w:w="708" w:type="dxa"/>
            <w:tcBorders>
              <w:top w:val="single" w:sz="4" w:space="0" w:color="auto"/>
              <w:left w:val="single" w:sz="4" w:space="0" w:color="auto"/>
              <w:bottom w:val="single" w:sz="4" w:space="0" w:color="auto"/>
              <w:right w:val="single" w:sz="4" w:space="0" w:color="auto"/>
            </w:tcBorders>
            <w:vAlign w:val="center"/>
          </w:tcPr>
          <w:p w:rsidR="00A24E41" w:rsidRPr="007F1538" w:rsidRDefault="00A24E41" w:rsidP="00674845">
            <w:pPr>
              <w:jc w:val="center"/>
              <w:rPr>
                <w:rFonts w:cs="Arial"/>
                <w:bCs/>
                <w:color w:val="000000"/>
                <w:lang w:val="fr-FR"/>
              </w:rPr>
            </w:pP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bCs/>
                <w:color w:val="000000"/>
                <w:lang w:val="fr-FR"/>
              </w:rPr>
            </w:pPr>
            <w:r w:rsidRPr="007F1538">
              <w:rPr>
                <w:rFonts w:cs="Arial"/>
                <w:bCs/>
                <w:color w:val="000000"/>
                <w:lang w:val="fr-FR"/>
              </w:rPr>
              <w:t>164</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251</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391</w:t>
            </w:r>
          </w:p>
        </w:tc>
        <w:tc>
          <w:tcPr>
            <w:tcW w:w="1134" w:type="dxa"/>
            <w:tcBorders>
              <w:top w:val="single" w:sz="4" w:space="0" w:color="auto"/>
              <w:left w:val="nil"/>
              <w:bottom w:val="single" w:sz="4" w:space="0" w:color="auto"/>
              <w:right w:val="single" w:sz="4" w:space="0" w:color="auto"/>
            </w:tcBorders>
            <w:vAlign w:val="center"/>
          </w:tcPr>
          <w:p w:rsidR="00A24E41" w:rsidRPr="007F1538" w:rsidRDefault="00A24E41" w:rsidP="00674845">
            <w:pPr>
              <w:jc w:val="center"/>
              <w:rPr>
                <w:rFonts w:cs="Arial"/>
                <w:color w:val="000000"/>
                <w:lang w:val="fr-FR"/>
              </w:rPr>
            </w:pPr>
            <w:r w:rsidRPr="007F1538">
              <w:rPr>
                <w:rFonts w:cs="Arial"/>
                <w:color w:val="000000"/>
                <w:lang w:val="fr-FR"/>
              </w:rPr>
              <w:t>295</w:t>
            </w:r>
          </w:p>
        </w:tc>
      </w:tr>
    </w:tbl>
    <w:p w:rsidR="00EE0B98" w:rsidRPr="007F1538" w:rsidRDefault="00EE0B98" w:rsidP="00EE0B98">
      <w:pPr>
        <w:tabs>
          <w:tab w:val="left" w:pos="360"/>
        </w:tabs>
        <w:rPr>
          <w:rFonts w:cs="Arial"/>
          <w:color w:val="000000"/>
          <w:lang w:val="fr-FR"/>
        </w:rPr>
      </w:pPr>
    </w:p>
    <w:p w:rsidR="00EF3F59" w:rsidRPr="007F1538" w:rsidRDefault="00346596" w:rsidP="00EF3F59">
      <w:pPr>
        <w:rPr>
          <w:rFonts w:cs="Arial"/>
          <w:lang w:val="fr-FR"/>
        </w:rPr>
      </w:pPr>
      <w:r w:rsidRPr="00346596">
        <w:rPr>
          <w:rFonts w:cs="Arial"/>
          <w:lang w:val="fr-FR"/>
        </w:rPr>
        <w:t>En 2009, 25 plateformes ont été organisées en Flandre et ont réuni quelque 200 entreprises participantes.</w:t>
      </w:r>
      <w:r w:rsidR="00EF3F59" w:rsidRPr="007F1538">
        <w:rPr>
          <w:rFonts w:cs="Arial"/>
          <w:lang w:val="fr-FR"/>
        </w:rPr>
        <w:t xml:space="preserve"> </w:t>
      </w:r>
      <w:r w:rsidRPr="00346596">
        <w:rPr>
          <w:rFonts w:cs="Arial"/>
          <w:lang w:val="fr-FR"/>
        </w:rPr>
        <w:t>En Wallonie, il s’agi</w:t>
      </w:r>
      <w:r w:rsidR="007E1736">
        <w:rPr>
          <w:rFonts w:cs="Arial"/>
          <w:lang w:val="fr-FR"/>
        </w:rPr>
        <w:t>t</w:t>
      </w:r>
      <w:r w:rsidRPr="00346596">
        <w:rPr>
          <w:rFonts w:cs="Arial"/>
          <w:lang w:val="fr-FR"/>
        </w:rPr>
        <w:t xml:space="preserve"> de 16 sessions collectives pour près de 100 entreprises au total.</w:t>
      </w:r>
      <w:r w:rsidR="00BD43A8" w:rsidRPr="007F1538">
        <w:rPr>
          <w:rFonts w:cs="Arial"/>
          <w:lang w:val="fr-FR"/>
        </w:rPr>
        <w:t xml:space="preserve"> </w:t>
      </w:r>
    </w:p>
    <w:p w:rsidR="00EF3B0F" w:rsidRPr="007F1538" w:rsidRDefault="00EF3B0F" w:rsidP="00EF3B0F">
      <w:pPr>
        <w:tabs>
          <w:tab w:val="left" w:pos="360"/>
        </w:tabs>
        <w:rPr>
          <w:rFonts w:cs="Arial"/>
          <w:color w:val="000000"/>
          <w:lang w:val="fr-FR"/>
        </w:rPr>
      </w:pPr>
      <w:bookmarkStart w:id="83" w:name="_Toc231044720"/>
    </w:p>
    <w:p w:rsidR="00EF3F59" w:rsidRPr="007F1538" w:rsidRDefault="00346596" w:rsidP="00346596">
      <w:pPr>
        <w:pStyle w:val="Heading3"/>
        <w:rPr>
          <w:lang w:val="fr-FR"/>
        </w:rPr>
      </w:pPr>
      <w:bookmarkStart w:id="84" w:name="_Toc267060132"/>
      <w:bookmarkStart w:id="85" w:name="_Toc269220686"/>
      <w:bookmarkEnd w:id="83"/>
      <w:r w:rsidRPr="00346596">
        <w:rPr>
          <w:lang w:val="fr-FR"/>
        </w:rPr>
        <w:t>Conseils aux entreprises</w:t>
      </w:r>
      <w:bookmarkEnd w:id="84"/>
      <w:bookmarkEnd w:id="85"/>
    </w:p>
    <w:p w:rsidR="00B80363" w:rsidRPr="007F1538" w:rsidRDefault="00346596" w:rsidP="00EE0B98">
      <w:pPr>
        <w:tabs>
          <w:tab w:val="left" w:pos="360"/>
        </w:tabs>
        <w:rPr>
          <w:rFonts w:cs="Arial"/>
          <w:color w:val="000000"/>
          <w:lang w:val="fr-FR"/>
        </w:rPr>
      </w:pPr>
      <w:r w:rsidRPr="00346596">
        <w:rPr>
          <w:rFonts w:cs="Arial"/>
          <w:color w:val="000000"/>
          <w:lang w:val="fr-FR"/>
        </w:rPr>
        <w:t xml:space="preserve">En collaboration avec divers partenaires, l'IFP soutient les entreprises alimentaires lors de la mise au point de </w:t>
      </w:r>
      <w:r w:rsidR="007E1736">
        <w:rPr>
          <w:rFonts w:cs="Arial"/>
          <w:color w:val="000000"/>
          <w:lang w:val="fr-FR"/>
        </w:rPr>
        <w:t>descriptions</w:t>
      </w:r>
      <w:r w:rsidRPr="00346596">
        <w:rPr>
          <w:rFonts w:cs="Arial"/>
          <w:color w:val="000000"/>
          <w:lang w:val="fr-FR"/>
        </w:rPr>
        <w:t xml:space="preserve"> de fonction </w:t>
      </w:r>
      <w:r w:rsidR="007E1736">
        <w:rPr>
          <w:rFonts w:cs="Arial"/>
          <w:color w:val="000000"/>
          <w:lang w:val="fr-FR"/>
        </w:rPr>
        <w:t>ou de référentiels</w:t>
      </w:r>
      <w:r w:rsidRPr="00346596">
        <w:rPr>
          <w:rFonts w:cs="Arial"/>
          <w:color w:val="000000"/>
          <w:lang w:val="fr-FR"/>
        </w:rPr>
        <w:t xml:space="preserve"> de compétence et de l'élaboration de leurs plans de formation.</w:t>
      </w:r>
      <w:r w:rsidR="00EE0B98" w:rsidRPr="007F1538">
        <w:rPr>
          <w:rFonts w:cs="Arial"/>
          <w:color w:val="000000"/>
          <w:lang w:val="fr-FR"/>
        </w:rPr>
        <w:t xml:space="preserve"> </w:t>
      </w:r>
      <w:r w:rsidRPr="00346596">
        <w:rPr>
          <w:rFonts w:cs="Arial"/>
          <w:color w:val="000000"/>
          <w:lang w:val="fr-FR"/>
        </w:rPr>
        <w:t>Les entreprises alimentaires flamandes sont en outre assistées dans la mise en place de plans de diversité ou dans l'établissement d’un dossier pour le fonds de l’expérience professionnelle.</w:t>
      </w:r>
      <w:r w:rsidR="00B80363" w:rsidRPr="007F1538">
        <w:rPr>
          <w:rFonts w:cs="Arial"/>
          <w:color w:val="000000"/>
          <w:lang w:val="fr-FR"/>
        </w:rPr>
        <w:t xml:space="preserve"> </w:t>
      </w:r>
      <w:r w:rsidRPr="00346596">
        <w:rPr>
          <w:rFonts w:cs="Arial"/>
          <w:color w:val="000000"/>
          <w:lang w:val="fr-FR"/>
        </w:rPr>
        <w:t>De plus, l’IFP prévoit un service en cas de restructuration.</w:t>
      </w:r>
    </w:p>
    <w:p w:rsidR="00B80363" w:rsidRPr="007F1538" w:rsidRDefault="00B80363" w:rsidP="00EE0B98">
      <w:pPr>
        <w:tabs>
          <w:tab w:val="left" w:pos="360"/>
        </w:tabs>
        <w:rPr>
          <w:rFonts w:cs="Arial"/>
          <w:color w:val="000000"/>
          <w:lang w:val="fr-FR"/>
        </w:rPr>
      </w:pPr>
    </w:p>
    <w:p w:rsidR="00F51A46" w:rsidRPr="007F1538" w:rsidRDefault="00D30409"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D30409">
        <w:rPr>
          <w:rFonts w:cs="Arial"/>
          <w:b/>
          <w:i/>
          <w:color w:val="000000"/>
          <w:shd w:val="pct70" w:color="FFFFFF" w:fill="auto"/>
          <w:lang w:val="fr-FR"/>
        </w:rPr>
        <w:t>*** 20 ans de l’IFP ***</w:t>
      </w:r>
    </w:p>
    <w:p w:rsidR="00F51A46" w:rsidRPr="007F1538" w:rsidRDefault="00F51A46"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F51A46" w:rsidRPr="007F1538" w:rsidRDefault="00346596" w:rsidP="00346596">
      <w:pPr>
        <w:jc w:val="center"/>
        <w:rPr>
          <w:rFonts w:cs="Arial"/>
          <w:b/>
          <w:i/>
          <w:color w:val="000000"/>
          <w:lang w:val="fr-FR"/>
        </w:rPr>
      </w:pPr>
      <w:r w:rsidRPr="00346596">
        <w:rPr>
          <w:rFonts w:cs="Arial"/>
          <w:b/>
          <w:i/>
          <w:color w:val="000000"/>
          <w:lang w:val="fr-FR"/>
        </w:rPr>
        <w:t>Apprendre, c’est plus que simplement former</w:t>
      </w:r>
    </w:p>
    <w:p w:rsidR="00F51A46" w:rsidRPr="007F1538" w:rsidRDefault="00F51A46"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F51A46" w:rsidRPr="007F1538" w:rsidRDefault="00F51A46"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F1538">
        <w:rPr>
          <w:rFonts w:cs="Arial"/>
          <w:b/>
          <w:i/>
          <w:color w:val="000000"/>
          <w:lang w:val="fr-FR"/>
        </w:rPr>
        <w:t>***</w:t>
      </w:r>
    </w:p>
    <w:p w:rsidR="00F51A46" w:rsidRPr="007F1538" w:rsidRDefault="00F51A4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F51A46"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AD6341">
        <w:rPr>
          <w:rFonts w:cs="Arial"/>
          <w:color w:val="000000"/>
          <w:shd w:val="pct70" w:color="FFFFFF" w:fill="auto"/>
          <w:lang w:val="fr-FR"/>
        </w:rPr>
        <w:t>Depuis une dizaine d’années, l’IFP a résolument décidé d'évoluer du statut d’organis</w:t>
      </w:r>
      <w:r w:rsidR="00AD6341" w:rsidRPr="00AD6341">
        <w:rPr>
          <w:rFonts w:cs="Arial"/>
          <w:color w:val="000000"/>
          <w:shd w:val="pct70" w:color="FFFFFF" w:fill="auto"/>
          <w:lang w:val="fr-FR"/>
        </w:rPr>
        <w:t>a</w:t>
      </w:r>
      <w:r w:rsidRPr="00AD6341">
        <w:rPr>
          <w:rFonts w:cs="Arial"/>
          <w:color w:val="000000"/>
          <w:shd w:val="pct70" w:color="FFFFFF" w:fill="auto"/>
          <w:lang w:val="fr-FR"/>
        </w:rPr>
        <w:t>teur de formation</w:t>
      </w:r>
      <w:r w:rsidR="00AD6341" w:rsidRPr="00AD6341">
        <w:rPr>
          <w:rFonts w:cs="Arial"/>
          <w:color w:val="000000"/>
          <w:shd w:val="pct70" w:color="FFFFFF" w:fill="auto"/>
          <w:lang w:val="fr-FR"/>
        </w:rPr>
        <w:t>s</w:t>
      </w:r>
      <w:r w:rsidRPr="00AD6341">
        <w:rPr>
          <w:rFonts w:cs="Arial"/>
          <w:color w:val="000000"/>
          <w:shd w:val="pct70" w:color="FFFFFF" w:fill="auto"/>
          <w:lang w:val="fr-FR"/>
        </w:rPr>
        <w:t xml:space="preserve"> à celui de </w:t>
      </w:r>
      <w:r w:rsidR="009E397B">
        <w:rPr>
          <w:rFonts w:cs="Arial"/>
          <w:color w:val="000000"/>
          <w:shd w:val="pct70" w:color="FFFFFF" w:fill="auto"/>
          <w:lang w:val="fr-FR"/>
        </w:rPr>
        <w:t>conseiller en formation</w:t>
      </w:r>
      <w:r w:rsidRPr="00AD6341">
        <w:rPr>
          <w:rFonts w:cs="Arial"/>
          <w:color w:val="000000"/>
          <w:shd w:val="pct70" w:color="FFFFFF" w:fill="auto"/>
          <w:lang w:val="fr-FR"/>
        </w:rPr>
        <w:t>.</w:t>
      </w:r>
      <w:r w:rsidR="00F51A46" w:rsidRPr="007F1538">
        <w:rPr>
          <w:rFonts w:cs="Arial"/>
          <w:color w:val="000000"/>
          <w:lang w:val="fr-FR"/>
        </w:rPr>
        <w:t xml:space="preserve"> </w:t>
      </w:r>
      <w:r w:rsidRPr="00AD6341">
        <w:rPr>
          <w:rFonts w:cs="Arial"/>
          <w:color w:val="000000"/>
          <w:shd w:val="pct70" w:color="FFFFFF" w:fill="auto"/>
          <w:lang w:val="fr-FR"/>
        </w:rPr>
        <w:t>Il est important d’aider les entreprises à trouver leur chemin dans l’offre de formations, mais cela ne suffit plus.</w:t>
      </w:r>
      <w:r w:rsidR="00F51A46" w:rsidRPr="007F1538">
        <w:rPr>
          <w:rFonts w:cs="Arial"/>
          <w:color w:val="000000"/>
          <w:lang w:val="fr-FR"/>
        </w:rPr>
        <w:t xml:space="preserve"> </w:t>
      </w:r>
      <w:r w:rsidRPr="00D30409">
        <w:rPr>
          <w:rFonts w:cs="Arial"/>
          <w:color w:val="000000"/>
          <w:shd w:val="pct70" w:color="FFFFFF" w:fill="auto"/>
          <w:lang w:val="fr-FR"/>
        </w:rPr>
        <w:t>Les efforts en matière de formation doivent être rentables et les entreprises souhaitent un</w:t>
      </w:r>
      <w:r w:rsidR="00AD6341" w:rsidRPr="00D30409">
        <w:rPr>
          <w:rFonts w:cs="Arial"/>
          <w:color w:val="000000"/>
          <w:shd w:val="pct70" w:color="FFFFFF" w:fill="auto"/>
          <w:lang w:val="fr-FR"/>
        </w:rPr>
        <w:t>e</w:t>
      </w:r>
      <w:r w:rsidRPr="00D30409">
        <w:rPr>
          <w:rFonts w:cs="Arial"/>
          <w:color w:val="000000"/>
          <w:shd w:val="pct70" w:color="FFFFFF" w:fill="auto"/>
          <w:lang w:val="fr-FR"/>
        </w:rPr>
        <w:t xml:space="preserve"> offre qui correspond</w:t>
      </w:r>
      <w:r w:rsidR="009E397B">
        <w:rPr>
          <w:rFonts w:cs="Arial"/>
          <w:color w:val="000000"/>
          <w:shd w:val="pct70" w:color="FFFFFF" w:fill="auto"/>
          <w:lang w:val="fr-FR"/>
        </w:rPr>
        <w:t>e</w:t>
      </w:r>
      <w:r w:rsidRPr="00D30409">
        <w:rPr>
          <w:rFonts w:cs="Arial"/>
          <w:color w:val="000000"/>
          <w:shd w:val="pct70" w:color="FFFFFF" w:fill="auto"/>
          <w:lang w:val="fr-FR"/>
        </w:rPr>
        <w:t xml:space="preserve"> étroitement aux besoins de leur organisation et de leurs travailleurs.</w:t>
      </w:r>
    </w:p>
    <w:p w:rsidR="00F51A46" w:rsidRPr="007F1538" w:rsidRDefault="00F51A4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6D4B14"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346596">
        <w:rPr>
          <w:rFonts w:cs="Arial"/>
          <w:color w:val="000000"/>
          <w:lang w:val="fr-FR"/>
        </w:rPr>
        <w:t xml:space="preserve">C’est pourquoi l’IFP stimule les entreprises à investir dans </w:t>
      </w:r>
      <w:r w:rsidR="009E397B">
        <w:rPr>
          <w:rFonts w:cs="Arial"/>
          <w:color w:val="000000"/>
          <w:lang w:val="fr-FR"/>
        </w:rPr>
        <w:t>l’élaboration d’</w:t>
      </w:r>
      <w:r w:rsidRPr="00346596">
        <w:rPr>
          <w:rFonts w:cs="Arial"/>
          <w:color w:val="000000"/>
          <w:lang w:val="fr-FR"/>
        </w:rPr>
        <w:t>un plan de formation :</w:t>
      </w:r>
      <w:r w:rsidR="000627A0" w:rsidRPr="007F1538">
        <w:rPr>
          <w:rFonts w:cs="Arial"/>
          <w:color w:val="000000"/>
          <w:lang w:val="fr-FR"/>
        </w:rPr>
        <w:t xml:space="preserve"> </w:t>
      </w:r>
      <w:r w:rsidRPr="00346596">
        <w:rPr>
          <w:rFonts w:cs="Arial"/>
          <w:color w:val="000000"/>
          <w:lang w:val="fr-FR"/>
        </w:rPr>
        <w:t>rédaction de profils de fonction et de compétence, évaluation et screening de collaborateurs, planification, organisation et suivi des trajets de développement.</w:t>
      </w:r>
      <w:r w:rsidR="000627A0" w:rsidRPr="007F1538">
        <w:rPr>
          <w:rFonts w:cs="Arial"/>
          <w:color w:val="000000"/>
          <w:lang w:val="fr-FR"/>
        </w:rPr>
        <w:t xml:space="preserve"> </w:t>
      </w:r>
      <w:r w:rsidRPr="00346596">
        <w:rPr>
          <w:rFonts w:cs="Arial"/>
          <w:color w:val="000000"/>
          <w:lang w:val="fr-FR"/>
        </w:rPr>
        <w:t>De cette manière, les efforts en matière de formation s’inscrivent dans une politique du personnel plus large, tout profit pour les carrières des travailleurs.</w:t>
      </w:r>
      <w:r w:rsidR="000627A0" w:rsidRPr="007F1538">
        <w:rPr>
          <w:rFonts w:cs="Arial"/>
          <w:color w:val="000000"/>
          <w:lang w:val="fr-FR"/>
        </w:rPr>
        <w:t xml:space="preserve"> </w:t>
      </w:r>
    </w:p>
    <w:p w:rsidR="006D4B14" w:rsidRPr="007F1538" w:rsidRDefault="006D4B14"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2A1F8C"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rPr>
          <w:lang w:val="fr-FR"/>
        </w:rPr>
      </w:pPr>
      <w:r w:rsidRPr="00346596">
        <w:rPr>
          <w:rFonts w:cs="Arial"/>
          <w:color w:val="000000"/>
          <w:lang w:val="fr-FR"/>
        </w:rPr>
        <w:t>L’apprentissage ne se fait pas uniquement en formation.</w:t>
      </w:r>
      <w:r w:rsidR="002A1F8C" w:rsidRPr="007F1538">
        <w:rPr>
          <w:rFonts w:cs="Arial"/>
          <w:color w:val="000000"/>
          <w:lang w:val="fr-FR"/>
        </w:rPr>
        <w:t xml:space="preserve"> </w:t>
      </w:r>
      <w:r w:rsidRPr="00346596">
        <w:rPr>
          <w:rFonts w:cs="Arial"/>
          <w:color w:val="000000"/>
          <w:shd w:val="pct70" w:color="FFFFFF" w:fill="auto"/>
          <w:lang w:val="fr-FR"/>
        </w:rPr>
        <w:t>L'apprentissage sur le lieu de travail est également important.</w:t>
      </w:r>
      <w:r w:rsidR="006D4B14" w:rsidRPr="007F1538">
        <w:rPr>
          <w:rFonts w:cs="Arial"/>
          <w:lang w:val="fr-FR"/>
        </w:rPr>
        <w:t xml:space="preserve"> </w:t>
      </w:r>
      <w:r w:rsidRPr="00D30409">
        <w:rPr>
          <w:rFonts w:cs="Arial"/>
          <w:shd w:val="pct70" w:color="FFFFFF" w:fill="auto"/>
          <w:lang w:val="fr-FR"/>
        </w:rPr>
        <w:t>De nouveaux collaborateurs doivent être informés et rentables au plus vite.</w:t>
      </w:r>
      <w:r w:rsidR="006D4B14" w:rsidRPr="007F1538">
        <w:rPr>
          <w:rFonts w:cs="Arial"/>
          <w:lang w:val="fr-FR"/>
        </w:rPr>
        <w:t xml:space="preserve"> </w:t>
      </w:r>
      <w:r w:rsidRPr="00346596">
        <w:rPr>
          <w:rFonts w:cs="Arial"/>
          <w:lang w:val="fr-FR"/>
        </w:rPr>
        <w:t>L’apprentissage sur le lieu de travail est souvent la seule solution pour répondre à des besoins en formation spécifiques.</w:t>
      </w:r>
      <w:r w:rsidR="006D4B14" w:rsidRPr="007F1538">
        <w:rPr>
          <w:rFonts w:cs="Arial"/>
          <w:lang w:val="fr-FR"/>
        </w:rPr>
        <w:t xml:space="preserve"> </w:t>
      </w:r>
      <w:r w:rsidRPr="00346596">
        <w:rPr>
          <w:rFonts w:cs="Arial"/>
          <w:lang w:val="fr-FR"/>
        </w:rPr>
        <w:t>Mais la formation on-the-job n’est rentable que si elle est bien organisée.</w:t>
      </w:r>
      <w:r w:rsidR="006D4B14" w:rsidRPr="007F1538">
        <w:rPr>
          <w:rFonts w:cs="Arial"/>
          <w:lang w:val="fr-FR"/>
        </w:rPr>
        <w:t xml:space="preserve"> </w:t>
      </w:r>
      <w:r w:rsidRPr="00346596">
        <w:rPr>
          <w:rFonts w:cs="Arial"/>
          <w:lang w:val="fr-FR"/>
        </w:rPr>
        <w:lastRenderedPageBreak/>
        <w:t>L’expérience nous apprend qu’une approche structurée permet de raccourcir les temps de changement, de diminuer les pertes de production, d’améliorer le climat de travail,…</w:t>
      </w:r>
      <w:r w:rsidR="002A1F8C" w:rsidRPr="007F1538">
        <w:rPr>
          <w:rFonts w:cs="Arial"/>
          <w:lang w:val="fr-FR"/>
        </w:rPr>
        <w:t xml:space="preserve"> </w:t>
      </w:r>
      <w:r w:rsidR="00AD6341" w:rsidRPr="00AD6341">
        <w:rPr>
          <w:rFonts w:cs="Arial"/>
          <w:shd w:val="pct70" w:color="FFFFFF" w:fill="auto"/>
          <w:lang w:val="fr-FR"/>
        </w:rPr>
        <w:t>L’IFP conseil</w:t>
      </w:r>
      <w:r w:rsidRPr="00AD6341">
        <w:rPr>
          <w:rFonts w:cs="Arial"/>
          <w:shd w:val="pct70" w:color="FFFFFF" w:fill="auto"/>
          <w:lang w:val="fr-FR"/>
        </w:rPr>
        <w:t>l</w:t>
      </w:r>
      <w:r w:rsidR="00AD6341" w:rsidRPr="00AD6341">
        <w:rPr>
          <w:rFonts w:cs="Arial"/>
          <w:shd w:val="pct70" w:color="FFFFFF" w:fill="auto"/>
          <w:lang w:val="fr-FR"/>
        </w:rPr>
        <w:t>e</w:t>
      </w:r>
      <w:r w:rsidRPr="00AD6341">
        <w:rPr>
          <w:rFonts w:cs="Arial"/>
          <w:shd w:val="pct70" w:color="FFFFFF" w:fill="auto"/>
          <w:lang w:val="fr-FR"/>
        </w:rPr>
        <w:t xml:space="preserve"> ses entreprises dans la structuration, l’élaboration et l’amélioration d’une bonne politique relative à l’apprentissage sur le lieu de travail.</w:t>
      </w:r>
    </w:p>
    <w:p w:rsidR="002A1F8C" w:rsidRPr="007F1538" w:rsidRDefault="002A1F8C" w:rsidP="00346596">
      <w:pPr>
        <w:pBdr>
          <w:top w:val="single" w:sz="4" w:space="2" w:color="C0C0C0"/>
          <w:left w:val="single" w:sz="4" w:space="2" w:color="C0C0C0"/>
          <w:bottom w:val="single" w:sz="4" w:space="2" w:color="C0C0C0"/>
          <w:right w:val="single" w:sz="4" w:space="2" w:color="C0C0C0"/>
        </w:pBdr>
        <w:shd w:val="pct70" w:color="FFFFFF" w:fill="C0C0C0"/>
        <w:rPr>
          <w:lang w:val="fr-FR"/>
        </w:rPr>
      </w:pPr>
    </w:p>
    <w:p w:rsidR="004B119F"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rPr>
          <w:lang w:val="fr-FR"/>
        </w:rPr>
      </w:pPr>
      <w:r w:rsidRPr="00AD6341">
        <w:rPr>
          <w:shd w:val="pct70" w:color="FFFFFF" w:fill="auto"/>
          <w:lang w:val="fr-FR"/>
        </w:rPr>
        <w:t>Enfin, l’IFP conseille également les entreprises afin d'enregistrer les efforts en matière de formation et d'en inventorier les effets.</w:t>
      </w:r>
      <w:r w:rsidR="00694465" w:rsidRPr="007F1538">
        <w:rPr>
          <w:lang w:val="fr-FR"/>
        </w:rPr>
        <w:t xml:space="preserve"> </w:t>
      </w:r>
      <w:r w:rsidRPr="00AD6341">
        <w:rPr>
          <w:shd w:val="pct70" w:color="FFFFFF" w:fill="auto"/>
          <w:lang w:val="fr-FR"/>
        </w:rPr>
        <w:t>Les efforts en matière de formation sont plus visible</w:t>
      </w:r>
      <w:r w:rsidR="00AD6341" w:rsidRPr="00AD6341">
        <w:rPr>
          <w:shd w:val="pct70" w:color="FFFFFF" w:fill="auto"/>
          <w:lang w:val="fr-FR"/>
        </w:rPr>
        <w:t>s</w:t>
      </w:r>
      <w:r w:rsidRPr="00AD6341">
        <w:rPr>
          <w:shd w:val="pct70" w:color="FFFFFF" w:fill="auto"/>
          <w:lang w:val="fr-FR"/>
        </w:rPr>
        <w:t xml:space="preserve"> en les enregistrant de manière sensée et simple.</w:t>
      </w:r>
      <w:r w:rsidR="00694465" w:rsidRPr="007F1538">
        <w:rPr>
          <w:lang w:val="fr-FR"/>
        </w:rPr>
        <w:t xml:space="preserve"> </w:t>
      </w:r>
      <w:r w:rsidRPr="00346596">
        <w:rPr>
          <w:lang w:val="fr-FR"/>
        </w:rPr>
        <w:t>Cet enregistrement est utile pour obtenir une vue d’ensemble en interne, mais également pour un audit BRC ou un bilan social.</w:t>
      </w:r>
    </w:p>
    <w:p w:rsidR="004B119F" w:rsidRPr="007F1538" w:rsidRDefault="004B119F" w:rsidP="00346596">
      <w:pPr>
        <w:pBdr>
          <w:top w:val="single" w:sz="4" w:space="2" w:color="C0C0C0"/>
          <w:left w:val="single" w:sz="4" w:space="2" w:color="C0C0C0"/>
          <w:bottom w:val="single" w:sz="4" w:space="2" w:color="C0C0C0"/>
          <w:right w:val="single" w:sz="4" w:space="2" w:color="C0C0C0"/>
        </w:pBdr>
        <w:shd w:val="pct70" w:color="FFFFFF" w:fill="C0C0C0"/>
        <w:rPr>
          <w:lang w:val="fr-FR"/>
        </w:rPr>
      </w:pPr>
    </w:p>
    <w:p w:rsidR="00694465"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rPr>
          <w:lang w:val="fr-FR"/>
        </w:rPr>
      </w:pPr>
      <w:r w:rsidRPr="00346596">
        <w:rPr>
          <w:lang w:val="fr-FR"/>
        </w:rPr>
        <w:t>Mesurer intelligemment permet d'assurer le suivi des évolutions d’apprentissage des collaborateurs.</w:t>
      </w:r>
      <w:r w:rsidR="00694465" w:rsidRPr="007F1538">
        <w:rPr>
          <w:lang w:val="fr-FR"/>
        </w:rPr>
        <w:t xml:space="preserve"> </w:t>
      </w:r>
      <w:r w:rsidRPr="00346596">
        <w:rPr>
          <w:lang w:val="fr-FR"/>
        </w:rPr>
        <w:t>Cela permet d’évaluer si les objectifs d’apprentissage ont été atteints.</w:t>
      </w:r>
      <w:r w:rsidR="00694465" w:rsidRPr="007F1538">
        <w:rPr>
          <w:lang w:val="fr-FR"/>
        </w:rPr>
        <w:t xml:space="preserve"> </w:t>
      </w:r>
      <w:r w:rsidRPr="00346596">
        <w:rPr>
          <w:lang w:val="fr-FR"/>
        </w:rPr>
        <w:t>En outre, cela offre la possibilité de certifier des collaborateurs si cela s’avère nécessaire dans certains trajets de formation.</w:t>
      </w:r>
      <w:r w:rsidR="00694465" w:rsidRPr="007F1538">
        <w:rPr>
          <w:lang w:val="fr-FR"/>
        </w:rPr>
        <w:t xml:space="preserve"> </w:t>
      </w:r>
      <w:r w:rsidRPr="00346596">
        <w:rPr>
          <w:lang w:val="fr-FR"/>
        </w:rPr>
        <w:t>Mesurer est également indispensable pour améliorer davantage l’apprentissage au sein de votre entreprise.</w:t>
      </w:r>
      <w:r w:rsidR="00694465" w:rsidRPr="007F1538">
        <w:rPr>
          <w:lang w:val="fr-FR"/>
        </w:rPr>
        <w:t xml:space="preserve"> </w:t>
      </w:r>
      <w:r w:rsidRPr="00D30409">
        <w:rPr>
          <w:shd w:val="pct70" w:color="FFFFFF" w:fill="auto"/>
          <w:lang w:val="fr-FR"/>
        </w:rPr>
        <w:t>Des processus d’apprentissage inefficaces peuvent être corrigés, des processus d’apprentissage efficace</w:t>
      </w:r>
      <w:r w:rsidR="00D30409" w:rsidRPr="00D30409">
        <w:rPr>
          <w:shd w:val="pct70" w:color="FFFFFF" w:fill="auto"/>
          <w:lang w:val="fr-FR"/>
        </w:rPr>
        <w:t>s</w:t>
      </w:r>
      <w:r w:rsidRPr="00D30409">
        <w:rPr>
          <w:shd w:val="pct70" w:color="FFFFFF" w:fill="auto"/>
          <w:lang w:val="fr-FR"/>
        </w:rPr>
        <w:t xml:space="preserve"> peuvent être étendus.</w:t>
      </w:r>
      <w:r w:rsidR="00694465" w:rsidRPr="007F1538">
        <w:rPr>
          <w:lang w:val="fr-FR"/>
        </w:rPr>
        <w:t xml:space="preserve"> </w:t>
      </w:r>
      <w:r w:rsidRPr="00346596">
        <w:rPr>
          <w:lang w:val="fr-FR"/>
        </w:rPr>
        <w:t>De simples interventions peuvent permettre à un travailleur de mieux appliquer ce qu’il a appris sur son lieu de travail (le transfert) et à une formation d’améliorer le fonctionnement interne.</w:t>
      </w:r>
    </w:p>
    <w:p w:rsidR="00694465" w:rsidRPr="007F1538" w:rsidRDefault="00694465" w:rsidP="00346596">
      <w:pPr>
        <w:pBdr>
          <w:top w:val="single" w:sz="4" w:space="2" w:color="C0C0C0"/>
          <w:left w:val="single" w:sz="4" w:space="2" w:color="C0C0C0"/>
          <w:bottom w:val="single" w:sz="4" w:space="2" w:color="C0C0C0"/>
          <w:right w:val="single" w:sz="4" w:space="2" w:color="C0C0C0"/>
        </w:pBdr>
        <w:shd w:val="pct70" w:color="FFFFFF" w:fill="C0C0C0"/>
        <w:rPr>
          <w:lang w:val="fr-FR"/>
        </w:rPr>
      </w:pPr>
    </w:p>
    <w:p w:rsidR="002A1F8C"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rPr>
          <w:lang w:val="fr-FR"/>
        </w:rPr>
      </w:pPr>
      <w:r w:rsidRPr="00346596">
        <w:rPr>
          <w:rFonts w:cs="Arial"/>
          <w:lang w:val="fr-FR"/>
        </w:rPr>
        <w:t>L’IFP stimule ce type d’investissements en offrant un soutien pratique et financier.</w:t>
      </w:r>
      <w:r w:rsidR="002A1F8C" w:rsidRPr="007F1538">
        <w:rPr>
          <w:rFonts w:cs="Arial"/>
          <w:lang w:val="fr-FR"/>
        </w:rPr>
        <w:t xml:space="preserve"> </w:t>
      </w:r>
      <w:r w:rsidRPr="00346596">
        <w:rPr>
          <w:rFonts w:cs="Arial"/>
          <w:lang w:val="fr-FR"/>
        </w:rPr>
        <w:t>Toute l’année durant, des entreprises des commissions paritaires 118 et 220 peuvent faire gratuitement appel à un conseiller IFP.</w:t>
      </w:r>
      <w:r w:rsidR="002A1F8C" w:rsidRPr="007F1538">
        <w:rPr>
          <w:rFonts w:cs="Arial"/>
          <w:lang w:val="fr-FR"/>
        </w:rPr>
        <w:t xml:space="preserve"> </w:t>
      </w:r>
      <w:r w:rsidRPr="00346596">
        <w:rPr>
          <w:rFonts w:cs="Arial"/>
          <w:lang w:val="fr-FR"/>
        </w:rPr>
        <w:t>En outre, les entreprises de l’industrie alimentaire ont droit chaque année à des chèques-conseils IFP d’une valeur de minimum 3.000 euros afin de faire appel aux services d’un expert externe.</w:t>
      </w:r>
      <w:r w:rsidR="002A1F8C" w:rsidRPr="007F1538">
        <w:rPr>
          <w:rFonts w:cs="Arial"/>
          <w:lang w:val="fr-FR"/>
        </w:rPr>
        <w:t xml:space="preserve"> </w:t>
      </w:r>
      <w:r w:rsidRPr="00346596">
        <w:rPr>
          <w:rFonts w:cs="Arial"/>
          <w:lang w:val="fr-FR"/>
        </w:rPr>
        <w:t>Entre-temps, plus de 300 entreprises différentes ont été atteintes grâce à ce système.</w:t>
      </w:r>
    </w:p>
    <w:p w:rsidR="00F51A46" w:rsidRPr="007F1538" w:rsidRDefault="00F51A4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F51A46" w:rsidRPr="007F1538" w:rsidRDefault="00F51A46" w:rsidP="00EE0B98">
      <w:pPr>
        <w:tabs>
          <w:tab w:val="left" w:pos="360"/>
        </w:tabs>
        <w:rPr>
          <w:rFonts w:cs="Arial"/>
          <w:color w:val="000000"/>
          <w:lang w:val="fr-FR"/>
        </w:rPr>
      </w:pPr>
    </w:p>
    <w:p w:rsidR="00F51A46" w:rsidRPr="007F1538" w:rsidRDefault="00F51A46" w:rsidP="00EE0B98">
      <w:pPr>
        <w:tabs>
          <w:tab w:val="left" w:pos="360"/>
        </w:tabs>
        <w:rPr>
          <w:rFonts w:cs="Arial"/>
          <w:color w:val="000000"/>
          <w:lang w:val="fr-FR"/>
        </w:rPr>
      </w:pPr>
    </w:p>
    <w:p w:rsidR="00EE0B98" w:rsidRPr="007F1538" w:rsidRDefault="00346596" w:rsidP="00EE0B98">
      <w:pPr>
        <w:tabs>
          <w:tab w:val="left" w:pos="360"/>
        </w:tabs>
        <w:rPr>
          <w:rFonts w:cs="Arial"/>
          <w:color w:val="000000"/>
          <w:lang w:val="fr-FR"/>
        </w:rPr>
      </w:pPr>
      <w:r w:rsidRPr="00346596">
        <w:rPr>
          <w:rFonts w:cs="Arial"/>
          <w:color w:val="000000"/>
          <w:lang w:val="fr-FR"/>
        </w:rPr>
        <w:t>Pour toutes ces actions et ces plans, l'IFP fournit même une aide financière ou des conseils sur toutes sortes de mesures de soutien financier complémentaires qui peuvent renforcer davantage les actions.</w:t>
      </w:r>
    </w:p>
    <w:p w:rsidR="00EE0B98" w:rsidRPr="007F1538" w:rsidRDefault="00EE0B98" w:rsidP="00EE0B98">
      <w:pPr>
        <w:tabs>
          <w:tab w:val="left" w:pos="360"/>
        </w:tabs>
        <w:rPr>
          <w:rFonts w:cs="Arial"/>
          <w:color w:val="000000"/>
          <w:lang w:val="fr-FR"/>
        </w:rPr>
      </w:pPr>
    </w:p>
    <w:p w:rsidR="00EE0B98" w:rsidRPr="007F1538" w:rsidRDefault="00346596" w:rsidP="00EE0B98">
      <w:pPr>
        <w:tabs>
          <w:tab w:val="left" w:pos="360"/>
        </w:tabs>
        <w:rPr>
          <w:rFonts w:cs="Arial"/>
          <w:color w:val="000000"/>
          <w:lang w:val="fr-FR"/>
        </w:rPr>
      </w:pPr>
      <w:r w:rsidRPr="00346596">
        <w:rPr>
          <w:rFonts w:cs="Arial"/>
          <w:lang w:val="fr-FR"/>
        </w:rPr>
        <w:t>En 2009, 100 entreprises ont fait appel aux services de l'IFP pour des dossiers relatifs à des plans de formation et d'amélioration de l’apprentissage sur le lieu de travail.</w:t>
      </w:r>
      <w:r w:rsidR="00EE0B98" w:rsidRPr="007F1538">
        <w:rPr>
          <w:rFonts w:cs="Arial"/>
          <w:lang w:val="fr-FR"/>
        </w:rPr>
        <w:t xml:space="preserve"> </w:t>
      </w:r>
      <w:r w:rsidRPr="00346596">
        <w:rPr>
          <w:rFonts w:cs="Arial"/>
          <w:color w:val="000000"/>
          <w:lang w:val="fr-FR"/>
        </w:rPr>
        <w:t>Au total, toutes ces entreprises emploient plus de 10.000 travailleurs.</w:t>
      </w:r>
    </w:p>
    <w:p w:rsidR="00EE0B98" w:rsidRPr="007F1538" w:rsidRDefault="00EE0B98" w:rsidP="00EE0B98">
      <w:pPr>
        <w:tabs>
          <w:tab w:val="left" w:pos="2957"/>
          <w:tab w:val="left" w:pos="4158"/>
          <w:tab w:val="left" w:pos="5359"/>
          <w:tab w:val="left" w:pos="6560"/>
          <w:tab w:val="left" w:pos="7761"/>
        </w:tabs>
        <w:ind w:left="103"/>
        <w:rPr>
          <w:rFonts w:cs="Arial"/>
          <w:highlight w:val="yellow"/>
          <w:lang w:val="fr-FR"/>
        </w:rPr>
      </w:pPr>
    </w:p>
    <w:p w:rsidR="001539D1" w:rsidRPr="007F1538" w:rsidRDefault="007A50E0" w:rsidP="00346596">
      <w:pPr>
        <w:tabs>
          <w:tab w:val="left" w:pos="2957"/>
          <w:tab w:val="left" w:pos="4158"/>
          <w:tab w:val="left" w:pos="5359"/>
          <w:tab w:val="left" w:pos="6560"/>
          <w:tab w:val="left" w:pos="7761"/>
        </w:tabs>
        <w:spacing w:after="60"/>
        <w:ind w:left="102"/>
        <w:rPr>
          <w:rFonts w:cs="Arial"/>
          <w:lang w:val="fr-FR"/>
        </w:rPr>
      </w:pPr>
      <w:r>
        <w:rPr>
          <w:rFonts w:cs="Arial"/>
          <w:lang w:val="fr-FR"/>
        </w:rPr>
        <w:t>Tableau 22</w:t>
      </w:r>
      <w:r w:rsidR="00346596" w:rsidRPr="00346596">
        <w:rPr>
          <w:rFonts w:cs="Arial"/>
          <w:lang w:val="fr-FR"/>
        </w:rPr>
        <w:t> : Aperçu des activités liées au service conseils</w:t>
      </w:r>
    </w:p>
    <w:tbl>
      <w:tblPr>
        <w:tblW w:w="89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4"/>
        <w:gridCol w:w="979"/>
        <w:gridCol w:w="992"/>
        <w:gridCol w:w="1134"/>
        <w:gridCol w:w="992"/>
        <w:gridCol w:w="992"/>
        <w:gridCol w:w="992"/>
      </w:tblGrid>
      <w:tr w:rsidR="00930044" w:rsidRPr="007F1538" w:rsidTr="00346596">
        <w:tc>
          <w:tcPr>
            <w:tcW w:w="2854" w:type="dxa"/>
            <w:shd w:val="clear" w:color="auto" w:fill="auto"/>
          </w:tcPr>
          <w:p w:rsidR="00930044" w:rsidRPr="007F1538" w:rsidRDefault="00930044" w:rsidP="00674845">
            <w:pPr>
              <w:rPr>
                <w:rFonts w:cs="Arial"/>
                <w:b/>
                <w:bCs/>
                <w:lang w:val="fr-FR"/>
              </w:rPr>
            </w:pPr>
          </w:p>
        </w:tc>
        <w:tc>
          <w:tcPr>
            <w:tcW w:w="979" w:type="dxa"/>
            <w:vAlign w:val="center"/>
          </w:tcPr>
          <w:p w:rsidR="00930044" w:rsidRPr="007F1538" w:rsidRDefault="00930044" w:rsidP="00674845">
            <w:pPr>
              <w:jc w:val="center"/>
              <w:rPr>
                <w:rFonts w:cs="Arial"/>
                <w:bCs/>
                <w:lang w:val="fr-FR"/>
              </w:rPr>
            </w:pPr>
            <w:r w:rsidRPr="007F1538">
              <w:rPr>
                <w:rFonts w:cs="Arial"/>
                <w:bCs/>
                <w:lang w:val="fr-FR"/>
              </w:rPr>
              <w:t>2004</w:t>
            </w:r>
          </w:p>
        </w:tc>
        <w:tc>
          <w:tcPr>
            <w:tcW w:w="992" w:type="dxa"/>
            <w:vAlign w:val="center"/>
          </w:tcPr>
          <w:p w:rsidR="00930044" w:rsidRPr="007F1538" w:rsidRDefault="00930044" w:rsidP="00674845">
            <w:pPr>
              <w:jc w:val="center"/>
              <w:rPr>
                <w:rFonts w:cs="Arial"/>
                <w:bCs/>
                <w:lang w:val="fr-FR"/>
              </w:rPr>
            </w:pPr>
            <w:r w:rsidRPr="007F1538">
              <w:rPr>
                <w:rFonts w:cs="Arial"/>
                <w:bCs/>
                <w:lang w:val="fr-FR"/>
              </w:rPr>
              <w:t>2005</w:t>
            </w:r>
          </w:p>
        </w:tc>
        <w:tc>
          <w:tcPr>
            <w:tcW w:w="1134" w:type="dxa"/>
            <w:vAlign w:val="center"/>
          </w:tcPr>
          <w:p w:rsidR="00930044" w:rsidRPr="007F1538" w:rsidRDefault="00930044" w:rsidP="00674845">
            <w:pPr>
              <w:jc w:val="center"/>
              <w:rPr>
                <w:rFonts w:cs="Arial"/>
                <w:bCs/>
                <w:lang w:val="fr-FR"/>
              </w:rPr>
            </w:pPr>
            <w:r w:rsidRPr="007F1538">
              <w:rPr>
                <w:rFonts w:cs="Arial"/>
                <w:bCs/>
                <w:lang w:val="fr-FR"/>
              </w:rPr>
              <w:t>2006</w:t>
            </w:r>
          </w:p>
        </w:tc>
        <w:tc>
          <w:tcPr>
            <w:tcW w:w="992" w:type="dxa"/>
            <w:vAlign w:val="center"/>
          </w:tcPr>
          <w:p w:rsidR="00930044" w:rsidRPr="007F1538" w:rsidRDefault="00930044" w:rsidP="00674845">
            <w:pPr>
              <w:jc w:val="center"/>
              <w:rPr>
                <w:rFonts w:cs="Arial"/>
                <w:lang w:val="fr-FR"/>
              </w:rPr>
            </w:pPr>
            <w:r w:rsidRPr="007F1538">
              <w:rPr>
                <w:rFonts w:cs="Arial"/>
                <w:lang w:val="fr-FR"/>
              </w:rPr>
              <w:t>2007</w:t>
            </w:r>
          </w:p>
        </w:tc>
        <w:tc>
          <w:tcPr>
            <w:tcW w:w="992" w:type="dxa"/>
            <w:vAlign w:val="center"/>
          </w:tcPr>
          <w:p w:rsidR="00930044" w:rsidRPr="007F1538" w:rsidRDefault="00930044" w:rsidP="00674845">
            <w:pPr>
              <w:jc w:val="center"/>
              <w:rPr>
                <w:rFonts w:cs="Arial"/>
                <w:lang w:val="fr-FR"/>
              </w:rPr>
            </w:pPr>
            <w:r w:rsidRPr="007F1538">
              <w:rPr>
                <w:rFonts w:cs="Arial"/>
                <w:lang w:val="fr-FR"/>
              </w:rPr>
              <w:t>2008</w:t>
            </w:r>
          </w:p>
        </w:tc>
        <w:tc>
          <w:tcPr>
            <w:tcW w:w="992" w:type="dxa"/>
          </w:tcPr>
          <w:p w:rsidR="00930044" w:rsidRPr="007F1538" w:rsidRDefault="00930044" w:rsidP="00930044">
            <w:pPr>
              <w:jc w:val="center"/>
              <w:rPr>
                <w:rFonts w:cs="Arial"/>
                <w:lang w:val="fr-FR"/>
              </w:rPr>
            </w:pPr>
            <w:r w:rsidRPr="007F1538">
              <w:rPr>
                <w:rFonts w:cs="Arial"/>
                <w:lang w:val="fr-FR"/>
              </w:rPr>
              <w:t>2009</w:t>
            </w:r>
          </w:p>
        </w:tc>
      </w:tr>
      <w:tr w:rsidR="00930044" w:rsidRPr="007F1538" w:rsidTr="00346596">
        <w:tc>
          <w:tcPr>
            <w:tcW w:w="2854" w:type="dxa"/>
            <w:shd w:val="clear" w:color="auto" w:fill="auto"/>
          </w:tcPr>
          <w:p w:rsidR="00930044" w:rsidRPr="007F1538" w:rsidRDefault="00346596" w:rsidP="00690B4E">
            <w:pPr>
              <w:rPr>
                <w:rFonts w:cs="Arial"/>
                <w:b/>
                <w:lang w:val="fr-FR"/>
              </w:rPr>
            </w:pPr>
            <w:r w:rsidRPr="00346596">
              <w:rPr>
                <w:rFonts w:cs="Arial"/>
                <w:b/>
                <w:bCs/>
                <w:lang w:val="fr-FR"/>
              </w:rPr>
              <w:t>Plans de formation</w:t>
            </w:r>
          </w:p>
        </w:tc>
        <w:tc>
          <w:tcPr>
            <w:tcW w:w="979" w:type="dxa"/>
            <w:vAlign w:val="center"/>
          </w:tcPr>
          <w:p w:rsidR="00930044" w:rsidRPr="007F1538" w:rsidRDefault="00930044" w:rsidP="00674845">
            <w:pPr>
              <w:jc w:val="center"/>
              <w:rPr>
                <w:rFonts w:cs="Arial"/>
                <w:lang w:val="fr-FR"/>
              </w:rPr>
            </w:pPr>
            <w:r w:rsidRPr="007F1538">
              <w:rPr>
                <w:rFonts w:cs="Arial"/>
                <w:bCs/>
                <w:lang w:val="fr-FR"/>
              </w:rPr>
              <w:t>25</w:t>
            </w:r>
          </w:p>
        </w:tc>
        <w:tc>
          <w:tcPr>
            <w:tcW w:w="992" w:type="dxa"/>
            <w:vAlign w:val="center"/>
          </w:tcPr>
          <w:p w:rsidR="00930044" w:rsidRPr="007F1538" w:rsidRDefault="00930044" w:rsidP="00674845">
            <w:pPr>
              <w:jc w:val="center"/>
              <w:rPr>
                <w:rFonts w:cs="Arial"/>
                <w:lang w:val="fr-FR"/>
              </w:rPr>
            </w:pPr>
            <w:r w:rsidRPr="007F1538">
              <w:rPr>
                <w:rFonts w:cs="Arial"/>
                <w:bCs/>
                <w:lang w:val="fr-FR"/>
              </w:rPr>
              <w:t>26</w:t>
            </w:r>
          </w:p>
        </w:tc>
        <w:tc>
          <w:tcPr>
            <w:tcW w:w="1134" w:type="dxa"/>
            <w:vAlign w:val="center"/>
          </w:tcPr>
          <w:p w:rsidR="00930044" w:rsidRPr="007F1538" w:rsidRDefault="00930044" w:rsidP="00674845">
            <w:pPr>
              <w:jc w:val="center"/>
              <w:rPr>
                <w:rFonts w:cs="Arial"/>
                <w:bCs/>
                <w:lang w:val="fr-FR"/>
              </w:rPr>
            </w:pPr>
            <w:r w:rsidRPr="007F1538">
              <w:rPr>
                <w:rFonts w:cs="Arial"/>
                <w:bCs/>
                <w:lang w:val="fr-FR"/>
              </w:rPr>
              <w:t>29</w:t>
            </w:r>
          </w:p>
        </w:tc>
        <w:tc>
          <w:tcPr>
            <w:tcW w:w="992" w:type="dxa"/>
            <w:vMerge w:val="restart"/>
            <w:vAlign w:val="center"/>
          </w:tcPr>
          <w:p w:rsidR="00930044" w:rsidRPr="007F1538" w:rsidRDefault="00930044" w:rsidP="00674845">
            <w:pPr>
              <w:jc w:val="center"/>
              <w:rPr>
                <w:rFonts w:cs="Arial"/>
                <w:lang w:val="fr-FR"/>
              </w:rPr>
            </w:pPr>
            <w:r w:rsidRPr="007F1538">
              <w:rPr>
                <w:rFonts w:cs="Arial"/>
                <w:lang w:val="fr-FR"/>
              </w:rPr>
              <w:t>92</w:t>
            </w:r>
          </w:p>
        </w:tc>
        <w:tc>
          <w:tcPr>
            <w:tcW w:w="992" w:type="dxa"/>
            <w:vMerge w:val="restart"/>
            <w:vAlign w:val="center"/>
          </w:tcPr>
          <w:p w:rsidR="00930044" w:rsidRPr="007F1538" w:rsidRDefault="00930044" w:rsidP="00674845">
            <w:pPr>
              <w:jc w:val="center"/>
              <w:rPr>
                <w:rFonts w:cs="Arial"/>
                <w:lang w:val="fr-FR"/>
              </w:rPr>
            </w:pPr>
            <w:r w:rsidRPr="007F1538">
              <w:rPr>
                <w:rFonts w:cs="Arial"/>
                <w:lang w:val="fr-FR"/>
              </w:rPr>
              <w:t>85</w:t>
            </w:r>
          </w:p>
        </w:tc>
        <w:tc>
          <w:tcPr>
            <w:tcW w:w="992" w:type="dxa"/>
            <w:vMerge w:val="restart"/>
          </w:tcPr>
          <w:p w:rsidR="00930044" w:rsidRPr="007F1538" w:rsidRDefault="00930044" w:rsidP="00674845">
            <w:pPr>
              <w:jc w:val="center"/>
              <w:rPr>
                <w:rFonts w:cs="Arial"/>
                <w:lang w:val="fr-FR"/>
              </w:rPr>
            </w:pPr>
          </w:p>
          <w:p w:rsidR="00930044" w:rsidRPr="007F1538" w:rsidRDefault="00930044" w:rsidP="00674845">
            <w:pPr>
              <w:jc w:val="center"/>
              <w:rPr>
                <w:rFonts w:cs="Arial"/>
                <w:lang w:val="fr-FR"/>
              </w:rPr>
            </w:pPr>
            <w:r w:rsidRPr="007F1538">
              <w:rPr>
                <w:rFonts w:cs="Arial"/>
                <w:lang w:val="fr-FR"/>
              </w:rPr>
              <w:t>100</w:t>
            </w:r>
          </w:p>
        </w:tc>
      </w:tr>
      <w:tr w:rsidR="00930044" w:rsidRPr="007F1538" w:rsidTr="00346596">
        <w:tc>
          <w:tcPr>
            <w:tcW w:w="2854" w:type="dxa"/>
            <w:shd w:val="clear" w:color="auto" w:fill="auto"/>
          </w:tcPr>
          <w:p w:rsidR="00930044" w:rsidRPr="007F1538" w:rsidRDefault="00346596" w:rsidP="00690B4E">
            <w:pPr>
              <w:rPr>
                <w:rFonts w:cs="Arial"/>
                <w:b/>
                <w:lang w:val="fr-FR"/>
              </w:rPr>
            </w:pPr>
            <w:r w:rsidRPr="00346596">
              <w:rPr>
                <w:rFonts w:cs="Arial"/>
                <w:b/>
                <w:bCs/>
                <w:lang w:val="fr-FR"/>
              </w:rPr>
              <w:t>Apprentissage sur le lieu de travail</w:t>
            </w:r>
          </w:p>
        </w:tc>
        <w:tc>
          <w:tcPr>
            <w:tcW w:w="979" w:type="dxa"/>
            <w:vAlign w:val="center"/>
          </w:tcPr>
          <w:p w:rsidR="00930044" w:rsidRPr="007F1538" w:rsidRDefault="00930044" w:rsidP="00674845">
            <w:pPr>
              <w:jc w:val="center"/>
              <w:rPr>
                <w:rFonts w:cs="Arial"/>
                <w:lang w:val="fr-FR"/>
              </w:rPr>
            </w:pPr>
            <w:r w:rsidRPr="007F1538">
              <w:rPr>
                <w:rFonts w:cs="Arial"/>
                <w:bCs/>
                <w:lang w:val="fr-FR"/>
              </w:rPr>
              <w:t>1</w:t>
            </w:r>
          </w:p>
        </w:tc>
        <w:tc>
          <w:tcPr>
            <w:tcW w:w="992" w:type="dxa"/>
            <w:vAlign w:val="center"/>
          </w:tcPr>
          <w:p w:rsidR="00930044" w:rsidRPr="007F1538" w:rsidRDefault="00930044" w:rsidP="00674845">
            <w:pPr>
              <w:jc w:val="center"/>
              <w:rPr>
                <w:rFonts w:cs="Arial"/>
                <w:lang w:val="fr-FR"/>
              </w:rPr>
            </w:pPr>
            <w:r w:rsidRPr="007F1538">
              <w:rPr>
                <w:rFonts w:cs="Arial"/>
                <w:bCs/>
                <w:lang w:val="fr-FR"/>
              </w:rPr>
              <w:t>8</w:t>
            </w:r>
          </w:p>
        </w:tc>
        <w:tc>
          <w:tcPr>
            <w:tcW w:w="1134" w:type="dxa"/>
            <w:vAlign w:val="center"/>
          </w:tcPr>
          <w:p w:rsidR="00930044" w:rsidRPr="007F1538" w:rsidRDefault="00930044" w:rsidP="00674845">
            <w:pPr>
              <w:jc w:val="center"/>
              <w:rPr>
                <w:rFonts w:cs="Arial"/>
                <w:bCs/>
                <w:lang w:val="fr-FR"/>
              </w:rPr>
            </w:pPr>
            <w:r w:rsidRPr="007F1538">
              <w:rPr>
                <w:rFonts w:cs="Arial"/>
                <w:bCs/>
                <w:lang w:val="fr-FR"/>
              </w:rPr>
              <w:t>25</w:t>
            </w:r>
          </w:p>
        </w:tc>
        <w:tc>
          <w:tcPr>
            <w:tcW w:w="992" w:type="dxa"/>
            <w:vMerge/>
            <w:vAlign w:val="center"/>
          </w:tcPr>
          <w:p w:rsidR="00930044" w:rsidRPr="007F1538" w:rsidRDefault="00930044" w:rsidP="00674845">
            <w:pPr>
              <w:jc w:val="center"/>
              <w:rPr>
                <w:rFonts w:cs="Arial"/>
                <w:lang w:val="fr-FR"/>
              </w:rPr>
            </w:pPr>
          </w:p>
        </w:tc>
        <w:tc>
          <w:tcPr>
            <w:tcW w:w="992" w:type="dxa"/>
            <w:vMerge/>
            <w:vAlign w:val="center"/>
          </w:tcPr>
          <w:p w:rsidR="00930044" w:rsidRPr="007F1538" w:rsidRDefault="00930044" w:rsidP="00674845">
            <w:pPr>
              <w:jc w:val="center"/>
              <w:rPr>
                <w:rFonts w:cs="Arial"/>
                <w:lang w:val="fr-FR"/>
              </w:rPr>
            </w:pPr>
          </w:p>
        </w:tc>
        <w:tc>
          <w:tcPr>
            <w:tcW w:w="992" w:type="dxa"/>
            <w:vMerge/>
          </w:tcPr>
          <w:p w:rsidR="00930044" w:rsidRPr="007F1538" w:rsidRDefault="00930044" w:rsidP="00674845">
            <w:pPr>
              <w:jc w:val="center"/>
              <w:rPr>
                <w:rFonts w:cs="Arial"/>
                <w:lang w:val="fr-FR"/>
              </w:rPr>
            </w:pPr>
          </w:p>
        </w:tc>
      </w:tr>
      <w:tr w:rsidR="00930044" w:rsidRPr="007F1538" w:rsidTr="00346596">
        <w:tc>
          <w:tcPr>
            <w:tcW w:w="2854" w:type="dxa"/>
            <w:shd w:val="clear" w:color="auto" w:fill="auto"/>
          </w:tcPr>
          <w:p w:rsidR="00930044" w:rsidRPr="007F1538" w:rsidRDefault="00346596" w:rsidP="00690B4E">
            <w:pPr>
              <w:rPr>
                <w:rFonts w:cs="Arial"/>
                <w:b/>
                <w:lang w:val="fr-FR"/>
              </w:rPr>
            </w:pPr>
            <w:r w:rsidRPr="00346596">
              <w:rPr>
                <w:rFonts w:cs="Arial"/>
                <w:b/>
                <w:bCs/>
                <w:lang w:val="fr-FR"/>
              </w:rPr>
              <w:t>Plans de diversité</w:t>
            </w:r>
          </w:p>
        </w:tc>
        <w:tc>
          <w:tcPr>
            <w:tcW w:w="979" w:type="dxa"/>
            <w:vAlign w:val="center"/>
          </w:tcPr>
          <w:p w:rsidR="00930044" w:rsidRPr="007F1538" w:rsidRDefault="00930044" w:rsidP="00674845">
            <w:pPr>
              <w:jc w:val="center"/>
              <w:rPr>
                <w:rFonts w:cs="Arial"/>
                <w:lang w:val="fr-FR"/>
              </w:rPr>
            </w:pPr>
            <w:r w:rsidRPr="007F1538">
              <w:rPr>
                <w:rFonts w:cs="Arial"/>
                <w:bCs/>
                <w:lang w:val="fr-FR"/>
              </w:rPr>
              <w:t>15</w:t>
            </w:r>
          </w:p>
        </w:tc>
        <w:tc>
          <w:tcPr>
            <w:tcW w:w="992" w:type="dxa"/>
            <w:vAlign w:val="center"/>
          </w:tcPr>
          <w:p w:rsidR="00930044" w:rsidRPr="007F1538" w:rsidRDefault="00930044" w:rsidP="00674845">
            <w:pPr>
              <w:jc w:val="center"/>
              <w:rPr>
                <w:rFonts w:cs="Arial"/>
                <w:lang w:val="fr-FR"/>
              </w:rPr>
            </w:pPr>
            <w:r w:rsidRPr="007F1538">
              <w:rPr>
                <w:rFonts w:cs="Arial"/>
                <w:bCs/>
                <w:lang w:val="fr-FR"/>
              </w:rPr>
              <w:t>19</w:t>
            </w:r>
          </w:p>
        </w:tc>
        <w:tc>
          <w:tcPr>
            <w:tcW w:w="1134" w:type="dxa"/>
            <w:vAlign w:val="center"/>
          </w:tcPr>
          <w:p w:rsidR="00930044" w:rsidRPr="007F1538" w:rsidRDefault="00930044" w:rsidP="00674845">
            <w:pPr>
              <w:jc w:val="center"/>
              <w:rPr>
                <w:rFonts w:cs="Arial"/>
                <w:bCs/>
                <w:lang w:val="fr-FR"/>
              </w:rPr>
            </w:pPr>
            <w:r w:rsidRPr="007F1538">
              <w:rPr>
                <w:rFonts w:cs="Arial"/>
                <w:bCs/>
                <w:lang w:val="fr-FR"/>
              </w:rPr>
              <w:t>27</w:t>
            </w:r>
          </w:p>
        </w:tc>
        <w:tc>
          <w:tcPr>
            <w:tcW w:w="992" w:type="dxa"/>
            <w:vAlign w:val="center"/>
          </w:tcPr>
          <w:p w:rsidR="00930044" w:rsidRPr="007F1538" w:rsidRDefault="00930044" w:rsidP="00674845">
            <w:pPr>
              <w:jc w:val="center"/>
              <w:rPr>
                <w:rFonts w:cs="Arial"/>
                <w:lang w:val="fr-FR"/>
              </w:rPr>
            </w:pPr>
            <w:r w:rsidRPr="007F1538">
              <w:rPr>
                <w:rFonts w:cs="Arial"/>
                <w:lang w:val="fr-FR"/>
              </w:rPr>
              <w:t>18</w:t>
            </w:r>
          </w:p>
        </w:tc>
        <w:tc>
          <w:tcPr>
            <w:tcW w:w="992" w:type="dxa"/>
            <w:vAlign w:val="center"/>
          </w:tcPr>
          <w:p w:rsidR="00930044" w:rsidRPr="007F1538" w:rsidRDefault="00930044" w:rsidP="00674845">
            <w:pPr>
              <w:jc w:val="center"/>
              <w:rPr>
                <w:rFonts w:cs="Arial"/>
                <w:lang w:val="fr-FR"/>
              </w:rPr>
            </w:pPr>
            <w:r w:rsidRPr="007F1538">
              <w:rPr>
                <w:rFonts w:cs="Arial"/>
                <w:lang w:val="fr-FR"/>
              </w:rPr>
              <w:t>31</w:t>
            </w:r>
          </w:p>
        </w:tc>
        <w:tc>
          <w:tcPr>
            <w:tcW w:w="992" w:type="dxa"/>
          </w:tcPr>
          <w:p w:rsidR="00930044" w:rsidRPr="007F1538" w:rsidRDefault="00E857AF" w:rsidP="00674845">
            <w:pPr>
              <w:jc w:val="center"/>
              <w:rPr>
                <w:rFonts w:cs="Arial"/>
                <w:lang w:val="fr-FR"/>
              </w:rPr>
            </w:pPr>
            <w:r w:rsidRPr="007F1538">
              <w:rPr>
                <w:rFonts w:cs="Arial"/>
                <w:lang w:val="fr-FR"/>
              </w:rPr>
              <w:t>32</w:t>
            </w:r>
          </w:p>
        </w:tc>
      </w:tr>
      <w:tr w:rsidR="00E857AF" w:rsidRPr="007F1538" w:rsidTr="00346596">
        <w:tc>
          <w:tcPr>
            <w:tcW w:w="2854" w:type="dxa"/>
            <w:shd w:val="clear" w:color="auto" w:fill="auto"/>
          </w:tcPr>
          <w:p w:rsidR="00E857AF" w:rsidRPr="007F1538" w:rsidRDefault="00346596" w:rsidP="00690B4E">
            <w:pPr>
              <w:rPr>
                <w:rFonts w:cs="Arial"/>
                <w:b/>
                <w:bCs/>
                <w:lang w:val="fr-FR"/>
              </w:rPr>
            </w:pPr>
            <w:r w:rsidRPr="00346596">
              <w:rPr>
                <w:rFonts w:cs="Arial"/>
                <w:b/>
                <w:bCs/>
                <w:lang w:val="fr-FR"/>
              </w:rPr>
              <w:t>Fonds de l’Expérience professionnelle</w:t>
            </w:r>
          </w:p>
        </w:tc>
        <w:tc>
          <w:tcPr>
            <w:tcW w:w="979" w:type="dxa"/>
          </w:tcPr>
          <w:p w:rsidR="00E857AF" w:rsidRPr="007F1538" w:rsidRDefault="00E857AF" w:rsidP="00D63C32">
            <w:pPr>
              <w:jc w:val="center"/>
              <w:rPr>
                <w:rFonts w:cs="Arial"/>
                <w:bCs/>
                <w:lang w:val="fr-FR"/>
              </w:rPr>
            </w:pPr>
          </w:p>
        </w:tc>
        <w:tc>
          <w:tcPr>
            <w:tcW w:w="992" w:type="dxa"/>
          </w:tcPr>
          <w:p w:rsidR="00E857AF" w:rsidRPr="007F1538" w:rsidRDefault="00E857AF" w:rsidP="00D63C32">
            <w:pPr>
              <w:jc w:val="center"/>
              <w:rPr>
                <w:rFonts w:cs="Arial"/>
                <w:bCs/>
                <w:lang w:val="fr-FR"/>
              </w:rPr>
            </w:pPr>
          </w:p>
        </w:tc>
        <w:tc>
          <w:tcPr>
            <w:tcW w:w="1134" w:type="dxa"/>
          </w:tcPr>
          <w:p w:rsidR="00E857AF" w:rsidRPr="007F1538" w:rsidRDefault="00E857AF" w:rsidP="00D63C32">
            <w:pPr>
              <w:jc w:val="center"/>
              <w:rPr>
                <w:rFonts w:cs="Arial"/>
                <w:bCs/>
                <w:lang w:val="fr-FR"/>
              </w:rPr>
            </w:pPr>
          </w:p>
        </w:tc>
        <w:tc>
          <w:tcPr>
            <w:tcW w:w="992" w:type="dxa"/>
          </w:tcPr>
          <w:p w:rsidR="00E857AF" w:rsidRPr="007F1538" w:rsidRDefault="00E857AF" w:rsidP="00D63C32">
            <w:pPr>
              <w:jc w:val="center"/>
              <w:rPr>
                <w:rFonts w:cs="Arial"/>
                <w:bCs/>
                <w:lang w:val="fr-FR"/>
              </w:rPr>
            </w:pPr>
            <w:r w:rsidRPr="007F1538">
              <w:rPr>
                <w:rFonts w:cs="Arial"/>
                <w:bCs/>
                <w:lang w:val="fr-FR"/>
              </w:rPr>
              <w:t>8</w:t>
            </w:r>
          </w:p>
        </w:tc>
        <w:tc>
          <w:tcPr>
            <w:tcW w:w="992" w:type="dxa"/>
            <w:vAlign w:val="center"/>
          </w:tcPr>
          <w:p w:rsidR="00E857AF" w:rsidRPr="007F1538" w:rsidRDefault="00E857AF" w:rsidP="00D63C32">
            <w:pPr>
              <w:jc w:val="center"/>
              <w:rPr>
                <w:rFonts w:cs="Arial"/>
                <w:bCs/>
                <w:lang w:val="fr-FR"/>
              </w:rPr>
            </w:pPr>
            <w:r w:rsidRPr="007F1538">
              <w:rPr>
                <w:rFonts w:cs="Arial"/>
                <w:bCs/>
                <w:lang w:val="fr-FR"/>
              </w:rPr>
              <w:t>14</w:t>
            </w:r>
          </w:p>
        </w:tc>
        <w:tc>
          <w:tcPr>
            <w:tcW w:w="992" w:type="dxa"/>
          </w:tcPr>
          <w:p w:rsidR="00E857AF" w:rsidRPr="007F1538" w:rsidRDefault="00E857AF" w:rsidP="00D63C32">
            <w:pPr>
              <w:jc w:val="center"/>
              <w:rPr>
                <w:rFonts w:cs="Arial"/>
                <w:bCs/>
                <w:lang w:val="fr-FR"/>
              </w:rPr>
            </w:pPr>
            <w:r w:rsidRPr="007F1538">
              <w:rPr>
                <w:rFonts w:cs="Arial"/>
                <w:bCs/>
                <w:lang w:val="fr-FR"/>
              </w:rPr>
              <w:t>19</w:t>
            </w:r>
          </w:p>
        </w:tc>
      </w:tr>
      <w:tr w:rsidR="00930044" w:rsidRPr="007F1538" w:rsidTr="00346596">
        <w:tc>
          <w:tcPr>
            <w:tcW w:w="2854" w:type="dxa"/>
            <w:shd w:val="clear" w:color="auto" w:fill="auto"/>
          </w:tcPr>
          <w:p w:rsidR="00930044" w:rsidRPr="007F1538" w:rsidRDefault="00346596" w:rsidP="00690B4E">
            <w:pPr>
              <w:rPr>
                <w:rFonts w:cs="Arial"/>
                <w:b/>
                <w:lang w:val="fr-FR"/>
              </w:rPr>
            </w:pPr>
            <w:r w:rsidRPr="00346596">
              <w:rPr>
                <w:rFonts w:cs="Arial"/>
                <w:b/>
                <w:bCs/>
                <w:lang w:val="fr-FR"/>
              </w:rPr>
              <w:t>Accompagnements restructurations</w:t>
            </w:r>
          </w:p>
        </w:tc>
        <w:tc>
          <w:tcPr>
            <w:tcW w:w="979" w:type="dxa"/>
            <w:vAlign w:val="center"/>
          </w:tcPr>
          <w:p w:rsidR="00930044" w:rsidRPr="007F1538" w:rsidRDefault="00930044" w:rsidP="00674845">
            <w:pPr>
              <w:jc w:val="center"/>
              <w:rPr>
                <w:rFonts w:cs="Arial"/>
                <w:lang w:val="fr-FR"/>
              </w:rPr>
            </w:pPr>
            <w:r w:rsidRPr="007F1538">
              <w:rPr>
                <w:rFonts w:cs="Arial"/>
                <w:bCs/>
                <w:lang w:val="fr-FR"/>
              </w:rPr>
              <w:t>3</w:t>
            </w:r>
          </w:p>
        </w:tc>
        <w:tc>
          <w:tcPr>
            <w:tcW w:w="992" w:type="dxa"/>
            <w:vAlign w:val="center"/>
          </w:tcPr>
          <w:p w:rsidR="00930044" w:rsidRPr="007F1538" w:rsidRDefault="00930044" w:rsidP="00674845">
            <w:pPr>
              <w:jc w:val="center"/>
              <w:rPr>
                <w:rFonts w:cs="Arial"/>
                <w:lang w:val="fr-FR"/>
              </w:rPr>
            </w:pPr>
            <w:r w:rsidRPr="007F1538">
              <w:rPr>
                <w:rFonts w:cs="Arial"/>
                <w:bCs/>
                <w:lang w:val="fr-FR"/>
              </w:rPr>
              <w:t>4</w:t>
            </w:r>
          </w:p>
        </w:tc>
        <w:tc>
          <w:tcPr>
            <w:tcW w:w="1134" w:type="dxa"/>
            <w:vAlign w:val="center"/>
          </w:tcPr>
          <w:p w:rsidR="00930044" w:rsidRPr="007F1538" w:rsidRDefault="00930044" w:rsidP="00674845">
            <w:pPr>
              <w:jc w:val="center"/>
              <w:rPr>
                <w:rFonts w:cs="Arial"/>
                <w:bCs/>
                <w:lang w:val="fr-FR"/>
              </w:rPr>
            </w:pPr>
            <w:r w:rsidRPr="007F1538">
              <w:rPr>
                <w:rFonts w:cs="Arial"/>
                <w:bCs/>
                <w:lang w:val="fr-FR"/>
              </w:rPr>
              <w:t>4</w:t>
            </w:r>
          </w:p>
        </w:tc>
        <w:tc>
          <w:tcPr>
            <w:tcW w:w="992" w:type="dxa"/>
            <w:vAlign w:val="center"/>
          </w:tcPr>
          <w:p w:rsidR="00930044" w:rsidRPr="007F1538" w:rsidRDefault="00930044" w:rsidP="00674845">
            <w:pPr>
              <w:jc w:val="center"/>
              <w:rPr>
                <w:rFonts w:cs="Arial"/>
                <w:lang w:val="fr-FR"/>
              </w:rPr>
            </w:pPr>
            <w:r w:rsidRPr="007F1538">
              <w:rPr>
                <w:rFonts w:cs="Arial"/>
                <w:lang w:val="fr-FR"/>
              </w:rPr>
              <w:t>13</w:t>
            </w:r>
          </w:p>
        </w:tc>
        <w:tc>
          <w:tcPr>
            <w:tcW w:w="992" w:type="dxa"/>
            <w:vAlign w:val="center"/>
          </w:tcPr>
          <w:p w:rsidR="00930044" w:rsidRPr="007F1538" w:rsidRDefault="00930044" w:rsidP="00674845">
            <w:pPr>
              <w:jc w:val="center"/>
              <w:rPr>
                <w:rFonts w:cs="Arial"/>
                <w:lang w:val="fr-FR"/>
              </w:rPr>
            </w:pPr>
            <w:r w:rsidRPr="007F1538">
              <w:rPr>
                <w:rFonts w:cs="Arial"/>
                <w:lang w:val="fr-FR"/>
              </w:rPr>
              <w:t xml:space="preserve">12 </w:t>
            </w:r>
          </w:p>
        </w:tc>
        <w:tc>
          <w:tcPr>
            <w:tcW w:w="992" w:type="dxa"/>
          </w:tcPr>
          <w:p w:rsidR="00930044" w:rsidRPr="007F1538" w:rsidRDefault="00915549" w:rsidP="00A87CD3">
            <w:pPr>
              <w:jc w:val="center"/>
              <w:rPr>
                <w:rFonts w:cs="Arial"/>
                <w:lang w:val="fr-FR"/>
              </w:rPr>
            </w:pPr>
            <w:r w:rsidRPr="007F1538">
              <w:rPr>
                <w:rFonts w:cs="Arial"/>
                <w:lang w:val="fr-FR"/>
              </w:rPr>
              <w:t>9</w:t>
            </w:r>
          </w:p>
        </w:tc>
      </w:tr>
    </w:tbl>
    <w:p w:rsidR="00EE0B98" w:rsidRPr="007F1538" w:rsidRDefault="00EE0B98" w:rsidP="00EE0B98">
      <w:pPr>
        <w:rPr>
          <w:rFonts w:cs="Arial"/>
          <w:lang w:val="fr-FR"/>
        </w:rPr>
      </w:pPr>
    </w:p>
    <w:p w:rsidR="00EF3B0F" w:rsidRPr="007F1538" w:rsidRDefault="00EF3B0F" w:rsidP="00EE0B98">
      <w:pPr>
        <w:rPr>
          <w:rFonts w:cs="Arial"/>
          <w:lang w:val="fr-FR"/>
        </w:rPr>
      </w:pPr>
    </w:p>
    <w:p w:rsidR="0011694F" w:rsidRPr="007F1538" w:rsidRDefault="00346596"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346596">
        <w:rPr>
          <w:rFonts w:cs="Arial"/>
          <w:b/>
          <w:i/>
          <w:color w:val="000000"/>
          <w:shd w:val="pct70" w:color="FFFFFF" w:fill="auto"/>
          <w:lang w:val="fr-FR"/>
        </w:rPr>
        <w:t>*** 20 ans de l’IFP ***</w:t>
      </w:r>
    </w:p>
    <w:p w:rsidR="0011694F" w:rsidRPr="007F1538" w:rsidRDefault="0011694F"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11694F" w:rsidRPr="007F1538" w:rsidRDefault="00346596" w:rsidP="00346596">
      <w:pPr>
        <w:pBdr>
          <w:top w:val="single" w:sz="4" w:space="1" w:color="auto"/>
          <w:left w:val="single" w:sz="4" w:space="1" w:color="auto"/>
          <w:bottom w:val="single" w:sz="4" w:space="1" w:color="auto"/>
          <w:right w:val="single" w:sz="4" w:space="1" w:color="auto"/>
        </w:pBdr>
        <w:jc w:val="center"/>
        <w:rPr>
          <w:rFonts w:cs="Arial"/>
          <w:b/>
          <w:i/>
          <w:color w:val="000000"/>
          <w:lang w:val="fr-FR"/>
        </w:rPr>
      </w:pPr>
      <w:r w:rsidRPr="00346596">
        <w:rPr>
          <w:rFonts w:cs="Arial"/>
          <w:b/>
          <w:i/>
          <w:color w:val="000000"/>
          <w:lang w:val="fr-FR"/>
        </w:rPr>
        <w:t xml:space="preserve">Conseil </w:t>
      </w:r>
      <w:r w:rsidR="00270499">
        <w:rPr>
          <w:rFonts w:cs="Arial"/>
          <w:b/>
          <w:i/>
          <w:color w:val="000000"/>
          <w:lang w:val="fr-FR"/>
        </w:rPr>
        <w:t xml:space="preserve">en matière </w:t>
      </w:r>
      <w:r w:rsidRPr="00346596">
        <w:rPr>
          <w:rFonts w:cs="Arial"/>
          <w:b/>
          <w:i/>
          <w:color w:val="000000"/>
          <w:lang w:val="fr-FR"/>
        </w:rPr>
        <w:t>de subvention</w:t>
      </w:r>
      <w:r w:rsidR="00270499">
        <w:rPr>
          <w:rFonts w:cs="Arial"/>
          <w:b/>
          <w:i/>
          <w:color w:val="000000"/>
          <w:lang w:val="fr-FR"/>
        </w:rPr>
        <w:t>s</w:t>
      </w:r>
      <w:r w:rsidRPr="00346596">
        <w:rPr>
          <w:rFonts w:cs="Arial"/>
          <w:b/>
          <w:i/>
          <w:color w:val="000000"/>
          <w:lang w:val="fr-FR"/>
        </w:rPr>
        <w:t xml:space="preserve"> – Congé éducati</w:t>
      </w:r>
      <w:r w:rsidR="001A6315">
        <w:rPr>
          <w:rFonts w:cs="Arial"/>
          <w:b/>
          <w:i/>
          <w:color w:val="000000"/>
          <w:lang w:val="fr-FR"/>
        </w:rPr>
        <w:t>on</w:t>
      </w:r>
      <w:r w:rsidRPr="00346596">
        <w:rPr>
          <w:rFonts w:cs="Arial"/>
          <w:b/>
          <w:i/>
          <w:color w:val="000000"/>
          <w:lang w:val="fr-FR"/>
        </w:rPr>
        <w:t xml:space="preserve"> payé</w:t>
      </w:r>
    </w:p>
    <w:p w:rsidR="0011694F" w:rsidRPr="007F1538" w:rsidRDefault="0011694F"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p>
    <w:p w:rsidR="0011694F" w:rsidRPr="007F1538" w:rsidRDefault="0011694F" w:rsidP="00346596">
      <w:pPr>
        <w:pBdr>
          <w:top w:val="single" w:sz="4" w:space="2" w:color="C0C0C0"/>
          <w:left w:val="single" w:sz="4" w:space="2" w:color="C0C0C0"/>
          <w:bottom w:val="single" w:sz="4" w:space="2" w:color="C0C0C0"/>
          <w:right w:val="single" w:sz="4" w:space="2" w:color="C0C0C0"/>
        </w:pBdr>
        <w:shd w:val="pct70" w:color="FFFFFF" w:fill="C0C0C0"/>
        <w:jc w:val="center"/>
        <w:rPr>
          <w:rFonts w:cs="Arial"/>
          <w:i/>
          <w:color w:val="000000"/>
          <w:lang w:val="fr-FR"/>
        </w:rPr>
      </w:pPr>
      <w:r w:rsidRPr="007F1538">
        <w:rPr>
          <w:rFonts w:cs="Arial"/>
          <w:i/>
          <w:color w:val="000000"/>
          <w:lang w:val="fr-FR"/>
        </w:rPr>
        <w:t>***</w:t>
      </w:r>
    </w:p>
    <w:p w:rsidR="001A4BB1" w:rsidRPr="007F1538" w:rsidRDefault="001A4BB1"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1A4BB1" w:rsidRDefault="0034659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346596">
        <w:rPr>
          <w:rFonts w:cs="Arial"/>
          <w:color w:val="000000"/>
          <w:lang w:val="fr-FR"/>
        </w:rPr>
        <w:t>Afin de supprimer au maximum tout obstacle financier à l’accès aux formations, l’IFP accorde non seulement des subsides, mais donne également des conseils à propos d’autres règles de subvention de formation et d’accompagnement, notamment le système d</w:t>
      </w:r>
      <w:r w:rsidR="00270499">
        <w:rPr>
          <w:rFonts w:cs="Arial"/>
          <w:color w:val="000000"/>
          <w:lang w:val="fr-FR"/>
        </w:rPr>
        <w:t>u</w:t>
      </w:r>
      <w:r w:rsidRPr="00346596">
        <w:rPr>
          <w:rFonts w:cs="Arial"/>
          <w:color w:val="000000"/>
          <w:lang w:val="fr-FR"/>
        </w:rPr>
        <w:t xml:space="preserve"> congé éducati</w:t>
      </w:r>
      <w:r w:rsidR="00270499">
        <w:rPr>
          <w:rFonts w:cs="Arial"/>
          <w:color w:val="000000"/>
          <w:lang w:val="fr-FR"/>
        </w:rPr>
        <w:t>on</w:t>
      </w:r>
      <w:r w:rsidRPr="00346596">
        <w:rPr>
          <w:rFonts w:cs="Arial"/>
          <w:color w:val="000000"/>
          <w:lang w:val="fr-FR"/>
        </w:rPr>
        <w:t xml:space="preserve"> payé (CEP).</w:t>
      </w:r>
      <w:r w:rsidR="00254CF8" w:rsidRPr="007F1538">
        <w:rPr>
          <w:rFonts w:cs="Arial"/>
          <w:color w:val="000000"/>
          <w:lang w:val="fr-FR"/>
        </w:rPr>
        <w:t xml:space="preserve"> </w:t>
      </w:r>
      <w:r w:rsidRPr="00346596">
        <w:rPr>
          <w:rFonts w:cs="Arial"/>
          <w:color w:val="000000"/>
          <w:lang w:val="fr-FR"/>
        </w:rPr>
        <w:t xml:space="preserve">L’employeur peut ainsi, sous certaines conditions, récupérer une partie des coûts salariaux </w:t>
      </w:r>
      <w:r w:rsidR="00270499">
        <w:rPr>
          <w:rFonts w:cs="Arial"/>
          <w:color w:val="000000"/>
          <w:lang w:val="fr-FR"/>
        </w:rPr>
        <w:t>de ses travailleurs en</w:t>
      </w:r>
      <w:r w:rsidRPr="00346596">
        <w:rPr>
          <w:rFonts w:cs="Arial"/>
          <w:color w:val="000000"/>
          <w:lang w:val="fr-FR"/>
        </w:rPr>
        <w:t xml:space="preserve"> formation auprès des pouvoirs publics fédéraux.</w:t>
      </w:r>
    </w:p>
    <w:p w:rsidR="00B62754" w:rsidRDefault="00B62754"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0C54ED" w:rsidRPr="000C54ED" w:rsidRDefault="000C54ED" w:rsidP="00346596">
      <w:pPr>
        <w:pBdr>
          <w:top w:val="single" w:sz="4" w:space="2" w:color="C0C0C0"/>
          <w:left w:val="single" w:sz="4" w:space="2" w:color="C0C0C0"/>
          <w:bottom w:val="single" w:sz="4" w:space="2" w:color="C0C0C0"/>
          <w:right w:val="single" w:sz="4" w:space="2" w:color="C0C0C0"/>
        </w:pBdr>
        <w:shd w:val="pct70" w:color="FFFFFF" w:fill="C0C0C0"/>
        <w:rPr>
          <w:rFonts w:cs="Arial"/>
          <w:lang w:val="fr-BE" w:eastAsia="nl-BE"/>
        </w:rPr>
      </w:pPr>
      <w:r w:rsidRPr="00B436C2">
        <w:rPr>
          <w:rFonts w:cs="Arial"/>
          <w:highlight w:val="cyan"/>
          <w:lang w:val="fr-BE" w:eastAsia="nl-BE"/>
        </w:rPr>
        <w:lastRenderedPageBreak/>
        <w:t>Pour l’industrie alimentaire, l’IFP est un des opérateurs de formation agréés pour délivrer les attestations valables pour l’octroi de cette aide d’Etat.</w:t>
      </w:r>
    </w:p>
    <w:p w:rsidR="00254CF8" w:rsidRPr="00B436C2" w:rsidRDefault="00254CF8"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BE"/>
        </w:rPr>
      </w:pPr>
    </w:p>
    <w:p w:rsidR="00254CF8" w:rsidRDefault="00346596"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346596">
        <w:rPr>
          <w:rFonts w:cs="Arial"/>
          <w:color w:val="000000"/>
          <w:lang w:val="fr-FR"/>
        </w:rPr>
        <w:t>Selon les chiffres les plus récents, quelque 3% des employeurs et environ 4% des travailleurs qui ont reçu un subside font partie de l’industrie alimentaire.</w:t>
      </w:r>
      <w:r w:rsidR="006C7EB3" w:rsidRPr="007F1538">
        <w:rPr>
          <w:rFonts w:cs="Arial"/>
          <w:color w:val="000000"/>
          <w:lang w:val="fr-FR"/>
        </w:rPr>
        <w:t xml:space="preserve"> </w:t>
      </w:r>
      <w:r w:rsidRPr="00346596">
        <w:rPr>
          <w:rFonts w:cs="Arial"/>
          <w:color w:val="000000"/>
          <w:lang w:val="fr-FR"/>
        </w:rPr>
        <w:t>En outre, le secteur a pris à son compte environ 3,5% des montants approuvés.</w:t>
      </w:r>
    </w:p>
    <w:p w:rsidR="00BC73C2" w:rsidRDefault="00BC73C2"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BC73C2" w:rsidRPr="007F1538" w:rsidRDefault="00BC73C2"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r w:rsidRPr="00BC73C2">
        <w:rPr>
          <w:rFonts w:cs="Arial"/>
          <w:color w:val="000000"/>
          <w:lang w:val="fr-FR"/>
        </w:rPr>
        <w:t>Concrètement pour 2009, l’IFP a délivré 1.507 attestations, 791 pour des ouvriers de la CP 118 et 716 pour les employés de la CP 220. Au total, il s’est agi de 237 entreprises différentes. Le top trois des formations pour lesquelles une attestation a été délivrée est, par ordre d’importance : (1) technique et entretien, (2) langues, et (3) leadership et communication. La durée moyenne des formations s’élevait à 47 heures.</w:t>
      </w:r>
    </w:p>
    <w:p w:rsidR="001B535E" w:rsidRPr="007F1538" w:rsidRDefault="001B535E"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1B535E" w:rsidRPr="007F1538" w:rsidRDefault="001B535E" w:rsidP="00346596">
      <w:pPr>
        <w:pBdr>
          <w:top w:val="single" w:sz="4" w:space="2" w:color="C0C0C0"/>
          <w:left w:val="single" w:sz="4" w:space="2" w:color="C0C0C0"/>
          <w:bottom w:val="single" w:sz="4" w:space="2" w:color="C0C0C0"/>
          <w:right w:val="single" w:sz="4" w:space="2" w:color="C0C0C0"/>
        </w:pBdr>
        <w:shd w:val="pct70" w:color="FFFFFF" w:fill="C0C0C0"/>
        <w:rPr>
          <w:rFonts w:cs="Arial"/>
          <w:color w:val="000000"/>
          <w:highlight w:val="yellow"/>
          <w:lang w:val="fr-FR"/>
        </w:rPr>
      </w:pPr>
    </w:p>
    <w:p w:rsidR="0011694F" w:rsidRPr="007F1538" w:rsidRDefault="0011694F" w:rsidP="0011694F">
      <w:pPr>
        <w:rPr>
          <w:rFonts w:cs="Arial"/>
          <w:lang w:val="fr-FR"/>
        </w:rPr>
      </w:pPr>
    </w:p>
    <w:p w:rsidR="00CB224E" w:rsidRPr="007F1538" w:rsidRDefault="00346596" w:rsidP="00346596">
      <w:pPr>
        <w:pStyle w:val="Heading3"/>
        <w:rPr>
          <w:lang w:val="fr-FR" w:eastAsia="pl-PL"/>
        </w:rPr>
      </w:pPr>
      <w:bookmarkStart w:id="86" w:name="_Toc267060133"/>
      <w:bookmarkStart w:id="87" w:name="_Toc269220687"/>
      <w:r w:rsidRPr="00346596">
        <w:rPr>
          <w:lang w:val="fr-FR"/>
        </w:rPr>
        <w:t>Pleins feux sur les outils de support</w:t>
      </w:r>
      <w:bookmarkEnd w:id="86"/>
      <w:bookmarkEnd w:id="87"/>
    </w:p>
    <w:p w:rsidR="00772033" w:rsidRPr="007F1538" w:rsidRDefault="00772033" w:rsidP="0069725F">
      <w:pPr>
        <w:rPr>
          <w:rFonts w:cs="Arial"/>
          <w:color w:val="000000"/>
          <w:lang w:val="fr-FR"/>
        </w:rPr>
      </w:pPr>
    </w:p>
    <w:p w:rsidR="00772033" w:rsidRPr="007F1538" w:rsidRDefault="00346596" w:rsidP="0069725F">
      <w:pPr>
        <w:rPr>
          <w:rFonts w:cs="Arial"/>
          <w:color w:val="000000"/>
          <w:lang w:val="fr-FR"/>
        </w:rPr>
      </w:pPr>
      <w:r w:rsidRPr="00346596">
        <w:rPr>
          <w:rFonts w:cs="Arial"/>
          <w:color w:val="000000"/>
          <w:lang w:val="fr-FR"/>
        </w:rPr>
        <w:t>Afin de stimuler et soutenir les entreprises en ce qui concerne leur politique en matière de compétences, l’IFP prévoit différents outils de support dans son offre.</w:t>
      </w:r>
      <w:r w:rsidR="00AF3B3C" w:rsidRPr="007F1538">
        <w:rPr>
          <w:rFonts w:cs="Arial"/>
          <w:color w:val="000000"/>
          <w:lang w:val="fr-FR"/>
        </w:rPr>
        <w:t xml:space="preserve"> </w:t>
      </w:r>
      <w:r w:rsidRPr="00AD6341">
        <w:rPr>
          <w:rFonts w:cs="Arial"/>
          <w:color w:val="000000"/>
          <w:lang w:val="fr-FR"/>
        </w:rPr>
        <w:t>En 2009, les outils suivants ont été mis sous le feu des projecteurs :</w:t>
      </w:r>
    </w:p>
    <w:p w:rsidR="00772033" w:rsidRPr="007A50E0" w:rsidRDefault="00772033" w:rsidP="009D07C4">
      <w:pPr>
        <w:ind w:left="709"/>
        <w:rPr>
          <w:rFonts w:cs="Arial"/>
          <w:color w:val="000000"/>
          <w:lang w:val="fr-BE"/>
        </w:rPr>
      </w:pPr>
    </w:p>
    <w:p w:rsidR="00AF3B3C" w:rsidRPr="007F1538" w:rsidRDefault="00346596" w:rsidP="00F66F76">
      <w:pPr>
        <w:rPr>
          <w:rFonts w:cs="Arial"/>
          <w:b/>
          <w:i/>
          <w:color w:val="000000"/>
          <w:lang w:val="fr-FR"/>
        </w:rPr>
      </w:pPr>
      <w:r w:rsidRPr="00346596">
        <w:rPr>
          <w:rFonts w:cs="Arial"/>
          <w:b/>
          <w:i/>
          <w:color w:val="000000"/>
          <w:lang w:val="fr-FR"/>
        </w:rPr>
        <w:t>Outil de bilan social</w:t>
      </w:r>
    </w:p>
    <w:p w:rsidR="00AF3B3C" w:rsidRPr="007F1538" w:rsidRDefault="00AD6341" w:rsidP="00F66F76">
      <w:pPr>
        <w:rPr>
          <w:rFonts w:cs="Arial"/>
          <w:lang w:val="fr-FR"/>
        </w:rPr>
      </w:pPr>
      <w:r w:rsidRPr="00AD6341">
        <w:rPr>
          <w:rFonts w:cs="Arial"/>
          <w:color w:val="000000"/>
          <w:lang w:val="fr-FR"/>
        </w:rPr>
        <w:t>Le bilan social exige un</w:t>
      </w:r>
      <w:r w:rsidR="00346596" w:rsidRPr="00AD6341">
        <w:rPr>
          <w:rFonts w:cs="Arial"/>
          <w:color w:val="000000"/>
          <w:lang w:val="fr-FR"/>
        </w:rPr>
        <w:t xml:space="preserve"> enregistrement précis des efforts en matière de formation.</w:t>
      </w:r>
      <w:r w:rsidR="00AF3B3C" w:rsidRPr="007F1538">
        <w:rPr>
          <w:rFonts w:cs="Arial"/>
          <w:color w:val="000000"/>
          <w:lang w:val="fr-FR"/>
        </w:rPr>
        <w:t xml:space="preserve"> </w:t>
      </w:r>
      <w:r w:rsidR="00346596" w:rsidRPr="00346596">
        <w:rPr>
          <w:rFonts w:cs="Arial"/>
          <w:lang w:val="fr-FR"/>
        </w:rPr>
        <w:t>Afin de soutenir les entreprises en la matière, l’IFP a lancé un outil en ligne gratuit qui permet d’enregistrer de manière claire et correcte les formations au sein des entreprises et de conserver un aperçu du total de toutes les formations suivies.</w:t>
      </w:r>
      <w:r w:rsidR="00B67161">
        <w:rPr>
          <w:rFonts w:cs="Arial"/>
          <w:lang w:val="fr-FR"/>
        </w:rPr>
        <w:t xml:space="preserve"> </w:t>
      </w:r>
      <w:r w:rsidR="00346596" w:rsidRPr="00346596">
        <w:rPr>
          <w:rFonts w:cs="Arial"/>
          <w:lang w:val="fr-FR"/>
        </w:rPr>
        <w:t xml:space="preserve">Tant les formations formelles, </w:t>
      </w:r>
      <w:r w:rsidR="006A1301">
        <w:rPr>
          <w:rFonts w:cs="Arial"/>
          <w:lang w:val="fr-FR"/>
        </w:rPr>
        <w:t>qu’</w:t>
      </w:r>
      <w:r w:rsidR="00346596" w:rsidRPr="00346596">
        <w:rPr>
          <w:rFonts w:cs="Arial"/>
          <w:lang w:val="fr-FR"/>
        </w:rPr>
        <w:t>informelles et initiales sont conservées dans l’instrument ‘Bilan social’.</w:t>
      </w:r>
      <w:r w:rsidR="00AF3B3C" w:rsidRPr="007F1538">
        <w:rPr>
          <w:rFonts w:cs="Arial"/>
          <w:lang w:val="fr-FR"/>
        </w:rPr>
        <w:t xml:space="preserve"> </w:t>
      </w:r>
      <w:r w:rsidR="00346596" w:rsidRPr="00346596">
        <w:rPr>
          <w:rFonts w:cs="Arial"/>
          <w:lang w:val="fr-FR"/>
        </w:rPr>
        <w:t>Le système calcule lui-même les totaux pour les différentes rubriques et les reproduit ensuite dans un tableau synoptique qui est présenté de telle manière qu’il peut sans problème être repris tel quel dans le bilan social officiel.</w:t>
      </w:r>
      <w:r w:rsidR="00AF3B3C" w:rsidRPr="007F1538">
        <w:rPr>
          <w:rFonts w:cs="Arial"/>
          <w:lang w:val="fr-FR"/>
        </w:rPr>
        <w:t xml:space="preserve"> </w:t>
      </w:r>
    </w:p>
    <w:p w:rsidR="00AF3B3C" w:rsidRDefault="00AF3B3C" w:rsidP="00AF3B3C">
      <w:pPr>
        <w:rPr>
          <w:rFonts w:cs="Arial"/>
          <w:lang w:val="fr-FR"/>
        </w:rPr>
      </w:pPr>
    </w:p>
    <w:p w:rsidR="00B436C2" w:rsidRPr="00B436C2" w:rsidRDefault="00B436C2" w:rsidP="00B436C2">
      <w:pPr>
        <w:rPr>
          <w:rFonts w:cs="Arial"/>
          <w:b/>
          <w:i/>
          <w:highlight w:val="cyan"/>
          <w:lang w:val="fr-BE"/>
        </w:rPr>
      </w:pPr>
      <w:r w:rsidRPr="00B436C2">
        <w:rPr>
          <w:rFonts w:cs="Arial"/>
          <w:b/>
          <w:i/>
          <w:highlight w:val="cyan"/>
          <w:lang w:val="fr-BE"/>
        </w:rPr>
        <w:t>Introtool</w:t>
      </w:r>
    </w:p>
    <w:p w:rsidR="00B436C2" w:rsidRPr="00B436C2" w:rsidRDefault="00B436C2" w:rsidP="00B436C2">
      <w:pPr>
        <w:rPr>
          <w:rFonts w:cs="Arial"/>
          <w:highlight w:val="cyan"/>
          <w:lang w:val="fr-BE"/>
        </w:rPr>
      </w:pPr>
      <w:r w:rsidRPr="00B436C2">
        <w:rPr>
          <w:rFonts w:cs="Arial"/>
          <w:highlight w:val="cyan"/>
          <w:lang w:val="fr-BE"/>
        </w:rPr>
        <w:t xml:space="preserve">Engager de nouveaux collaborateurs représente un lourd investissement, tant du point de vue financier que du point de vue du temps à y consacrer.  C'est pourquoi, il est important que ces nouveaux travailleurs puissent s'intégrer rapidement dans votre entreprise. Mais comment allez-vous les accueillir, les recevoir et les former à leur nouveau job ? </w:t>
      </w:r>
    </w:p>
    <w:p w:rsidR="00BC73C2" w:rsidRPr="00B436C2" w:rsidRDefault="00B436C2" w:rsidP="00B436C2">
      <w:pPr>
        <w:rPr>
          <w:rFonts w:cs="Arial"/>
          <w:lang w:val="fr-BE"/>
        </w:rPr>
      </w:pPr>
      <w:r w:rsidRPr="00B436C2">
        <w:rPr>
          <w:rFonts w:cs="Arial"/>
          <w:highlight w:val="cyan"/>
          <w:lang w:val="fr-BE"/>
        </w:rPr>
        <w:t>L’IFP a élaboré un instrument d’évaluation qui est disponible gratuitement en ligne.  Il consiste en une série de questionnaires qui vous permettent de positionner votre entreprise par rapport aux autres entreprises alimentaires.   En effet, lorsque vous avez répondu à toutes les questions, vous obtenez un score et un histogramme vous donne un aperçu de vos points forts et de vos points d’amélioration.</w:t>
      </w:r>
    </w:p>
    <w:p w:rsidR="00B436C2" w:rsidRDefault="00B436C2" w:rsidP="0069725F">
      <w:pPr>
        <w:rPr>
          <w:rFonts w:cs="Arial"/>
          <w:color w:val="000000"/>
          <w:lang w:val="fr-FR"/>
        </w:rPr>
      </w:pPr>
    </w:p>
    <w:p w:rsidR="00772033" w:rsidRPr="00A46630" w:rsidRDefault="00346596" w:rsidP="0069725F">
      <w:pPr>
        <w:rPr>
          <w:rFonts w:cs="Arial"/>
          <w:color w:val="000000"/>
          <w:lang w:val="fr-BE"/>
        </w:rPr>
      </w:pPr>
      <w:r w:rsidRPr="00346596">
        <w:rPr>
          <w:rFonts w:cs="Arial"/>
          <w:color w:val="000000"/>
          <w:lang w:val="fr-FR"/>
        </w:rPr>
        <w:t>Pour un aperçu de tous les outils :</w:t>
      </w:r>
      <w:r w:rsidR="009D07C4" w:rsidRPr="007F1538">
        <w:rPr>
          <w:rFonts w:cs="Arial"/>
          <w:color w:val="000000"/>
          <w:lang w:val="fr-FR"/>
        </w:rPr>
        <w:t xml:space="preserve"> </w:t>
      </w:r>
      <w:hyperlink r:id="rId11" w:history="1">
        <w:r w:rsidR="00A46630" w:rsidRPr="004D4AC7">
          <w:rPr>
            <w:rStyle w:val="Hyperlink"/>
            <w:lang w:val="fr-BE"/>
          </w:rPr>
          <w:t>http://www.ipv-ifp.be/outils</w:t>
        </w:r>
      </w:hyperlink>
      <w:r w:rsidR="00A46630">
        <w:rPr>
          <w:lang w:val="fr-BE"/>
        </w:rPr>
        <w:t xml:space="preserve"> </w:t>
      </w:r>
    </w:p>
    <w:p w:rsidR="00D94EEA" w:rsidRPr="007F1538" w:rsidRDefault="00D94EEA" w:rsidP="00192B1C">
      <w:pPr>
        <w:rPr>
          <w:lang w:val="fr-FR"/>
        </w:rPr>
      </w:pPr>
    </w:p>
    <w:p w:rsidR="008645B2" w:rsidRPr="007F1538" w:rsidRDefault="008645B2" w:rsidP="00EE0B98">
      <w:pPr>
        <w:rPr>
          <w:rFonts w:cs="Arial"/>
          <w:lang w:val="fr-FR"/>
        </w:rPr>
      </w:pPr>
    </w:p>
    <w:p w:rsidR="00AF3B3C" w:rsidRPr="007F1538" w:rsidRDefault="00346596" w:rsidP="00EE0B98">
      <w:pPr>
        <w:rPr>
          <w:rFonts w:cs="Arial"/>
          <w:b/>
          <w:sz w:val="22"/>
          <w:szCs w:val="22"/>
          <w:lang w:val="fr-FR"/>
        </w:rPr>
      </w:pPr>
      <w:r w:rsidRPr="00346596">
        <w:rPr>
          <w:rFonts w:cs="Arial"/>
          <w:b/>
          <w:sz w:val="22"/>
          <w:szCs w:val="22"/>
          <w:lang w:val="fr-FR"/>
        </w:rPr>
        <w:t>Evaluation des compétences :</w:t>
      </w:r>
      <w:r w:rsidR="00AF3B3C" w:rsidRPr="007F1538">
        <w:rPr>
          <w:rFonts w:cs="Arial"/>
          <w:b/>
          <w:sz w:val="22"/>
          <w:szCs w:val="22"/>
          <w:lang w:val="fr-FR"/>
        </w:rPr>
        <w:t xml:space="preserve"> </w:t>
      </w:r>
      <w:r w:rsidRPr="0091724E">
        <w:rPr>
          <w:rFonts w:cs="Arial"/>
          <w:b/>
          <w:sz w:val="22"/>
          <w:szCs w:val="22"/>
          <w:lang w:val="fr-FR"/>
        </w:rPr>
        <w:t>74% des entreprises alimentaires agissent dans le domaine de la gestion des compétences</w:t>
      </w:r>
    </w:p>
    <w:p w:rsidR="00AF3B3C" w:rsidRPr="007F1538" w:rsidRDefault="00AF3B3C" w:rsidP="00EE0B98">
      <w:pPr>
        <w:rPr>
          <w:rFonts w:cs="Arial"/>
          <w:lang w:val="fr-FR"/>
        </w:rPr>
      </w:pPr>
    </w:p>
    <w:p w:rsidR="008645B2" w:rsidRPr="007F1538" w:rsidRDefault="0091724E" w:rsidP="009B10E4">
      <w:pPr>
        <w:rPr>
          <w:rFonts w:cs="Arial"/>
          <w:lang w:val="fr-FR"/>
        </w:rPr>
      </w:pPr>
      <w:r w:rsidRPr="0091724E">
        <w:rPr>
          <w:rFonts w:cs="Arial"/>
          <w:lang w:val="fr-FR"/>
        </w:rPr>
        <w:t xml:space="preserve">Une étude du Hoger Instituut voor de Arbeid </w:t>
      </w:r>
      <w:r w:rsidR="00BB2090">
        <w:rPr>
          <w:rFonts w:cs="Arial"/>
          <w:lang w:val="fr-FR"/>
        </w:rPr>
        <w:t xml:space="preserve">(HIVA) </w:t>
      </w:r>
      <w:r w:rsidRPr="0091724E">
        <w:rPr>
          <w:rFonts w:cs="Arial"/>
          <w:lang w:val="fr-FR"/>
        </w:rPr>
        <w:t>révèle que le développement des compétences est très présent au sein de l’industrie alimentaire.</w:t>
      </w:r>
      <w:r w:rsidR="009B10E4" w:rsidRPr="007F1538">
        <w:rPr>
          <w:rFonts w:cs="Arial"/>
          <w:lang w:val="fr-FR"/>
        </w:rPr>
        <w:t xml:space="preserve"> </w:t>
      </w:r>
      <w:r w:rsidRPr="0091724E">
        <w:rPr>
          <w:rFonts w:cs="Arial"/>
          <w:lang w:val="fr-FR"/>
        </w:rPr>
        <w:t>Au total, 442 entreprises alimentaires ont été interrogées par téléphone en ce qui concerne la mesure et la manière dont les compétences des collaborateurs sont utilisées et développées dans le cadre des objectifs de l’entreprise.</w:t>
      </w:r>
      <w:r w:rsidR="008645B2" w:rsidRPr="007F1538">
        <w:rPr>
          <w:rFonts w:cs="Arial"/>
          <w:lang w:val="fr-FR" w:eastAsia="en-US"/>
        </w:rPr>
        <w:t xml:space="preserve"> </w:t>
      </w:r>
    </w:p>
    <w:p w:rsidR="008645B2" w:rsidRPr="007F1538" w:rsidRDefault="008645B2" w:rsidP="009B10E4">
      <w:pPr>
        <w:spacing w:line="246" w:lineRule="atLeast"/>
        <w:rPr>
          <w:rFonts w:cs="Arial"/>
          <w:b/>
          <w:bCs/>
          <w:lang w:val="fr-FR" w:eastAsia="en-US"/>
        </w:rPr>
      </w:pPr>
      <w:r w:rsidRPr="007F1538">
        <w:rPr>
          <w:rFonts w:cs="Arial"/>
          <w:lang w:val="fr-FR" w:eastAsia="en-US"/>
        </w:rPr>
        <w:t> </w:t>
      </w:r>
    </w:p>
    <w:p w:rsidR="008645B2" w:rsidRPr="007F1538" w:rsidRDefault="0091724E" w:rsidP="0091724E">
      <w:pPr>
        <w:spacing w:line="240" w:lineRule="atLeast"/>
        <w:rPr>
          <w:rFonts w:cs="Arial"/>
          <w:lang w:val="fr-FR" w:eastAsia="en-US"/>
        </w:rPr>
      </w:pPr>
      <w:r w:rsidRPr="00D30409">
        <w:rPr>
          <w:rFonts w:cs="Arial"/>
          <w:lang w:val="fr-FR" w:eastAsia="en-US"/>
        </w:rPr>
        <w:t>74% des entreprises interrogées déclarent qu’elles utilisent activement une politique des compétences lors de l’engagement et la sélection de personnel, 70% lors de l’organisation d’entretien</w:t>
      </w:r>
      <w:r w:rsidR="00D30409" w:rsidRPr="00D30409">
        <w:rPr>
          <w:rFonts w:cs="Arial"/>
          <w:lang w:val="fr-FR" w:eastAsia="en-US"/>
        </w:rPr>
        <w:t>s</w:t>
      </w:r>
      <w:r w:rsidRPr="00D30409">
        <w:rPr>
          <w:rFonts w:cs="Arial"/>
          <w:lang w:val="fr-FR" w:eastAsia="en-US"/>
        </w:rPr>
        <w:t xml:space="preserve"> de fonction</w:t>
      </w:r>
      <w:r w:rsidR="00BB2090">
        <w:rPr>
          <w:rFonts w:cs="Arial"/>
          <w:lang w:val="fr-FR" w:eastAsia="en-US"/>
        </w:rPr>
        <w:t>nement</w:t>
      </w:r>
      <w:r w:rsidRPr="00D30409">
        <w:rPr>
          <w:rFonts w:cs="Arial"/>
          <w:lang w:val="fr-FR" w:eastAsia="en-US"/>
        </w:rPr>
        <w:t xml:space="preserve"> et d’évaluation, 62% lors du planning des formations, 59% lors de l’accueil de nouveaux collaborateurs et 58% lors du planning de carrière.</w:t>
      </w:r>
      <w:r w:rsidR="008645B2" w:rsidRPr="007F1538">
        <w:rPr>
          <w:rFonts w:cs="Arial"/>
          <w:lang w:val="fr-FR" w:eastAsia="en-US"/>
        </w:rPr>
        <w:t xml:space="preserve"> </w:t>
      </w:r>
      <w:r w:rsidRPr="0091724E">
        <w:rPr>
          <w:rFonts w:cs="Arial"/>
          <w:lang w:val="fr-FR" w:eastAsia="en-US"/>
        </w:rPr>
        <w:t>Et bien que la taille de l’organisation joue un rôle en la matière, de nombreuses petites PME sont soucieuses du développement des compétences.</w:t>
      </w:r>
      <w:r w:rsidR="00B67161">
        <w:rPr>
          <w:rFonts w:cs="Arial"/>
          <w:lang w:val="fr-FR" w:eastAsia="en-US"/>
        </w:rPr>
        <w:t xml:space="preserve"> </w:t>
      </w:r>
    </w:p>
    <w:p w:rsidR="008645B2" w:rsidRPr="007F1538" w:rsidRDefault="008645B2" w:rsidP="008645B2">
      <w:pPr>
        <w:spacing w:line="246" w:lineRule="atLeast"/>
        <w:rPr>
          <w:rFonts w:cs="Arial"/>
          <w:lang w:val="fr-FR" w:eastAsia="en-US"/>
        </w:rPr>
      </w:pPr>
      <w:r w:rsidRPr="007F1538">
        <w:rPr>
          <w:rFonts w:cs="Arial"/>
          <w:lang w:val="fr-FR" w:eastAsia="en-US"/>
        </w:rPr>
        <w:t> </w:t>
      </w:r>
    </w:p>
    <w:p w:rsidR="008645B2" w:rsidRPr="007F1538" w:rsidRDefault="0091724E" w:rsidP="0091724E">
      <w:pPr>
        <w:spacing w:line="240" w:lineRule="atLeast"/>
        <w:rPr>
          <w:rFonts w:cs="Arial"/>
          <w:lang w:val="fr-FR" w:eastAsia="en-US"/>
        </w:rPr>
      </w:pPr>
      <w:r w:rsidRPr="0091724E">
        <w:rPr>
          <w:rFonts w:cs="Arial"/>
          <w:lang w:val="fr-FR" w:eastAsia="en-US"/>
        </w:rPr>
        <w:lastRenderedPageBreak/>
        <w:t>Il n’existe bien souvent aucun budget séparé ni responsable spécifique, mais dans 65% de ces entreprises, le management est toutefois activement impliqué dans des projets relatifs au développement des compétences des collaborateurs.</w:t>
      </w:r>
      <w:r w:rsidR="008645B2" w:rsidRPr="007F1538">
        <w:rPr>
          <w:rFonts w:cs="Arial"/>
          <w:lang w:val="fr-FR" w:eastAsia="en-US"/>
        </w:rPr>
        <w:t xml:space="preserve"> </w:t>
      </w:r>
    </w:p>
    <w:p w:rsidR="008645B2" w:rsidRPr="007F1538" w:rsidRDefault="008645B2" w:rsidP="008645B2">
      <w:pPr>
        <w:spacing w:line="246" w:lineRule="atLeast"/>
        <w:rPr>
          <w:rFonts w:cs="Arial"/>
          <w:lang w:val="fr-FR" w:eastAsia="en-US"/>
        </w:rPr>
      </w:pPr>
      <w:r w:rsidRPr="007F1538">
        <w:rPr>
          <w:rFonts w:cs="Arial"/>
          <w:lang w:val="fr-FR" w:eastAsia="en-US"/>
        </w:rPr>
        <w:t> </w:t>
      </w:r>
    </w:p>
    <w:p w:rsidR="008645B2" w:rsidRPr="007F1538" w:rsidRDefault="0091724E" w:rsidP="0091724E">
      <w:pPr>
        <w:spacing w:line="240" w:lineRule="atLeast"/>
        <w:rPr>
          <w:rFonts w:cs="Arial"/>
          <w:lang w:val="fr-FR" w:eastAsia="en-US"/>
        </w:rPr>
      </w:pPr>
      <w:r w:rsidRPr="0091724E">
        <w:rPr>
          <w:rFonts w:cs="Arial"/>
          <w:lang w:val="fr-FR" w:eastAsia="en-US"/>
        </w:rPr>
        <w:t>Il ressort des résultats que les entreprises alimentaires veulent continuer à investir dans le développement des compétences dans le futur.</w:t>
      </w:r>
      <w:r w:rsidR="008645B2" w:rsidRPr="007F1538">
        <w:rPr>
          <w:rFonts w:cs="Arial"/>
          <w:lang w:val="fr-FR" w:eastAsia="en-US"/>
        </w:rPr>
        <w:t xml:space="preserve"> </w:t>
      </w:r>
      <w:r w:rsidRPr="0091724E">
        <w:rPr>
          <w:rFonts w:cs="Arial"/>
          <w:lang w:val="fr-FR" w:eastAsia="en-US"/>
        </w:rPr>
        <w:t>Pour ce faire, elles ont principalement besoin de moyens supplémentaires sous la forme de subsides, de conseils ou de formation pour les responsables et de main-d’œuvre supplémentaire, surtout dans les entreprises plus petites.</w:t>
      </w:r>
    </w:p>
    <w:p w:rsidR="008645B2" w:rsidRPr="007F1538" w:rsidRDefault="008645B2" w:rsidP="00EE0B98">
      <w:pPr>
        <w:rPr>
          <w:rFonts w:cs="Arial"/>
          <w:lang w:val="fr-FR"/>
        </w:rPr>
      </w:pPr>
    </w:p>
    <w:p w:rsidR="0011694F" w:rsidRPr="007F1538" w:rsidRDefault="0011694F" w:rsidP="00EE0B98">
      <w:pPr>
        <w:rPr>
          <w:rFonts w:cs="Arial"/>
          <w:lang w:val="fr-FR"/>
        </w:rPr>
      </w:pPr>
    </w:p>
    <w:p w:rsidR="00EE0B98" w:rsidRPr="007F1538" w:rsidRDefault="0091724E" w:rsidP="0091724E">
      <w:pPr>
        <w:pStyle w:val="Heading3"/>
        <w:rPr>
          <w:lang w:val="fr-FR"/>
        </w:rPr>
      </w:pPr>
      <w:bookmarkStart w:id="88" w:name="_Toc267060134"/>
      <w:bookmarkStart w:id="89" w:name="_Toc269220688"/>
      <w:r w:rsidRPr="0091724E">
        <w:rPr>
          <w:lang w:val="fr-FR"/>
        </w:rPr>
        <w:t>Innovations dans l’offre de formations</w:t>
      </w:r>
      <w:bookmarkEnd w:id="88"/>
      <w:bookmarkEnd w:id="89"/>
      <w:r w:rsidR="00EE0B98" w:rsidRPr="007F1538">
        <w:rPr>
          <w:lang w:val="fr-FR"/>
        </w:rPr>
        <w:t xml:space="preserve"> </w:t>
      </w:r>
    </w:p>
    <w:p w:rsidR="009D07C4" w:rsidRPr="007F1538" w:rsidRDefault="00930CF6" w:rsidP="00AD6341">
      <w:pPr>
        <w:pStyle w:val="Heading4"/>
        <w:rPr>
          <w:lang w:val="fr-FR"/>
        </w:rPr>
      </w:pPr>
      <w:r w:rsidRPr="00AD6341">
        <w:rPr>
          <w:lang w:val="fr-FR"/>
        </w:rPr>
        <w:t>C</w:t>
      </w:r>
      <w:r w:rsidR="00AD6341">
        <w:rPr>
          <w:lang w:val="fr-FR"/>
        </w:rPr>
        <w:t>entres de Technologie Avancée</w:t>
      </w:r>
      <w:r w:rsidR="004B6CE0" w:rsidRPr="00AD6341">
        <w:rPr>
          <w:lang w:val="fr-FR"/>
        </w:rPr>
        <w:t xml:space="preserve"> (CTA)</w:t>
      </w:r>
    </w:p>
    <w:p w:rsidR="004B6CE0" w:rsidRPr="007F1538" w:rsidRDefault="004B6CE0" w:rsidP="004B6CE0">
      <w:pPr>
        <w:jc w:val="both"/>
        <w:rPr>
          <w:lang w:val="fr-FR"/>
        </w:rPr>
      </w:pPr>
    </w:p>
    <w:p w:rsidR="00B80B85" w:rsidRPr="00B33D4E" w:rsidRDefault="0091724E" w:rsidP="00B80B85">
      <w:pPr>
        <w:jc w:val="both"/>
        <w:rPr>
          <w:lang w:val="fr-FR"/>
        </w:rPr>
      </w:pPr>
      <w:r w:rsidRPr="00D30409">
        <w:rPr>
          <w:lang w:val="fr-FR"/>
        </w:rPr>
        <w:t>Afin de faire mieux correspondre les formations avec la demande des entreprise</w:t>
      </w:r>
      <w:r w:rsidR="00D30409" w:rsidRPr="00D30409">
        <w:rPr>
          <w:lang w:val="fr-FR"/>
        </w:rPr>
        <w:t>s, les Centres de Technologie Avancée</w:t>
      </w:r>
      <w:r w:rsidRPr="00D30409">
        <w:rPr>
          <w:lang w:val="fr-FR"/>
        </w:rPr>
        <w:t xml:space="preserve"> ont été lancés en 2009 en Wallonie et à Bruxelles.</w:t>
      </w:r>
      <w:r w:rsidR="004B6CE0" w:rsidRPr="007F1538">
        <w:rPr>
          <w:lang w:val="fr-FR"/>
        </w:rPr>
        <w:t xml:space="preserve"> </w:t>
      </w:r>
      <w:r w:rsidR="00B80B85" w:rsidRPr="007F1538">
        <w:rPr>
          <w:lang w:val="fr-FR"/>
        </w:rPr>
        <w:t xml:space="preserve">Un </w:t>
      </w:r>
      <w:r w:rsidR="00B80B85" w:rsidRPr="007F1538">
        <w:rPr>
          <w:b/>
          <w:lang w:val="fr-FR"/>
        </w:rPr>
        <w:t>C</w:t>
      </w:r>
      <w:r w:rsidR="00B80B85" w:rsidRPr="007F1538">
        <w:rPr>
          <w:lang w:val="fr-FR"/>
        </w:rPr>
        <w:t xml:space="preserve">entre de </w:t>
      </w:r>
      <w:r w:rsidR="00B80B85" w:rsidRPr="007F1538">
        <w:rPr>
          <w:b/>
          <w:lang w:val="fr-FR"/>
        </w:rPr>
        <w:t>T</w:t>
      </w:r>
      <w:r w:rsidR="00B80B85" w:rsidRPr="007F1538">
        <w:rPr>
          <w:lang w:val="fr-FR"/>
        </w:rPr>
        <w:t xml:space="preserve">echnologie </w:t>
      </w:r>
      <w:r w:rsidR="00B80B85" w:rsidRPr="007F1538">
        <w:rPr>
          <w:b/>
          <w:lang w:val="fr-FR"/>
        </w:rPr>
        <w:t>A</w:t>
      </w:r>
      <w:r w:rsidR="00B80B85" w:rsidRPr="007F1538">
        <w:rPr>
          <w:lang w:val="fr-FR"/>
        </w:rPr>
        <w:t xml:space="preserve">vancée est une infrastructure mettant des équipements de pointe à disposition des élèves et des enseignants, quels que soient le réseau et le caractère d’enseignement, ainsi que des demandeurs d’emploi et des travailleurs, en vue de développer des formations performantes qui correspondent aux profils de qualification et de formation établis par l’Enseignement avec l’aide des secteurs professionnels, afin </w:t>
      </w:r>
      <w:r w:rsidR="00B80B85" w:rsidRPr="00B33D4E">
        <w:rPr>
          <w:lang w:val="fr-FR"/>
        </w:rPr>
        <w:t>de permettre une meilleure insertion sur le marché de l’emploi.</w:t>
      </w:r>
    </w:p>
    <w:p w:rsidR="00B80B85" w:rsidRPr="00B33D4E" w:rsidRDefault="00B80B85" w:rsidP="00B80B85">
      <w:pPr>
        <w:jc w:val="both"/>
        <w:rPr>
          <w:lang w:val="fr-FR"/>
        </w:rPr>
      </w:pPr>
    </w:p>
    <w:p w:rsidR="00B80B85" w:rsidRPr="00B33D4E" w:rsidRDefault="00B80B85" w:rsidP="00B80B85">
      <w:pPr>
        <w:jc w:val="both"/>
        <w:rPr>
          <w:lang w:val="fr-FR"/>
        </w:rPr>
      </w:pPr>
      <w:r w:rsidRPr="00B33D4E">
        <w:rPr>
          <w:lang w:val="fr-FR"/>
        </w:rPr>
        <w:t>Complémentaires aux deux centres de compétence « alimentaires », Epicuris et FormAlim, il</w:t>
      </w:r>
      <w:r w:rsidR="00375C20" w:rsidRPr="00B33D4E">
        <w:rPr>
          <w:lang w:val="fr-FR"/>
        </w:rPr>
        <w:t xml:space="preserve"> y en</w:t>
      </w:r>
      <w:r w:rsidR="00B67161" w:rsidRPr="00B33D4E">
        <w:rPr>
          <w:lang w:val="fr-FR"/>
        </w:rPr>
        <w:t xml:space="preserve"> </w:t>
      </w:r>
      <w:r w:rsidRPr="00B33D4E">
        <w:rPr>
          <w:lang w:val="fr-FR"/>
        </w:rPr>
        <w:t xml:space="preserve">six </w:t>
      </w:r>
      <w:r w:rsidR="00375C20" w:rsidRPr="00B33D4E">
        <w:rPr>
          <w:lang w:val="fr-FR"/>
        </w:rPr>
        <w:t xml:space="preserve">qui </w:t>
      </w:r>
      <w:r w:rsidR="005D58D5" w:rsidRPr="00B33D4E">
        <w:rPr>
          <w:lang w:val="fr-FR"/>
        </w:rPr>
        <w:t>sont en lien direct ou indirect avec notre secteur</w:t>
      </w:r>
      <w:r w:rsidRPr="00B33D4E">
        <w:rPr>
          <w:lang w:val="fr-FR"/>
        </w:rPr>
        <w:t>. L’industrie alimentaire est associée au pilotage de</w:t>
      </w:r>
      <w:r w:rsidR="00B33D4E">
        <w:rPr>
          <w:lang w:val="fr-FR"/>
        </w:rPr>
        <w:t xml:space="preserve"> si</w:t>
      </w:r>
      <w:r w:rsidRPr="00B33D4E">
        <w:rPr>
          <w:lang w:val="fr-FR"/>
        </w:rPr>
        <w:t>x CTA, via l’IFP qui siège au sein du comité d’accompagnement.</w:t>
      </w:r>
    </w:p>
    <w:p w:rsidR="00B80B85" w:rsidRPr="007F1538" w:rsidRDefault="00B80B85" w:rsidP="004B6CE0">
      <w:pPr>
        <w:jc w:val="both"/>
        <w:rPr>
          <w:highlight w:val="lightGray"/>
          <w:lang w:val="fr-FR"/>
        </w:rPr>
      </w:pPr>
    </w:p>
    <w:p w:rsidR="00B80B85" w:rsidRPr="007F1538" w:rsidRDefault="00B80B85" w:rsidP="00B225DF">
      <w:pPr>
        <w:jc w:val="center"/>
        <w:rPr>
          <w:rFonts w:cs="Arial"/>
          <w:i/>
          <w:color w:val="000000"/>
          <w:highlight w:val="lightGray"/>
          <w:lang w:val="fr-FR"/>
        </w:rPr>
      </w:pPr>
    </w:p>
    <w:p w:rsidR="00B225DF" w:rsidRPr="007F1538" w:rsidRDefault="00B80B85" w:rsidP="00645C25">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highlight w:val="lightGray"/>
          <w:lang w:val="fr-FR"/>
        </w:rPr>
      </w:pPr>
      <w:r w:rsidRPr="007F1538">
        <w:rPr>
          <w:rFonts w:cs="Arial"/>
          <w:b/>
          <w:i/>
          <w:color w:val="000000"/>
          <w:highlight w:val="lightGray"/>
          <w:lang w:val="fr-FR"/>
        </w:rPr>
        <w:t xml:space="preserve"> </w:t>
      </w:r>
    </w:p>
    <w:p w:rsidR="00B80B85" w:rsidRPr="007D398B" w:rsidRDefault="00645C25" w:rsidP="00645C25">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D398B">
        <w:rPr>
          <w:rFonts w:cs="Arial"/>
          <w:b/>
          <w:i/>
          <w:color w:val="000000"/>
          <w:lang w:val="fr-FR"/>
        </w:rPr>
        <w:t>*** 20 ans de l’IFP ***</w:t>
      </w:r>
    </w:p>
    <w:p w:rsidR="00B80B85" w:rsidRPr="007D398B" w:rsidRDefault="00B80B85" w:rsidP="00645C25">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B80B85" w:rsidRPr="007D398B" w:rsidRDefault="00645C25" w:rsidP="00645C25">
      <w:pPr>
        <w:pBdr>
          <w:top w:val="single" w:sz="4" w:space="1" w:color="auto"/>
          <w:left w:val="single" w:sz="4" w:space="4" w:color="auto"/>
          <w:bottom w:val="single" w:sz="4" w:space="1" w:color="auto"/>
          <w:right w:val="single" w:sz="4" w:space="4" w:color="auto"/>
        </w:pBdr>
        <w:jc w:val="center"/>
        <w:rPr>
          <w:rFonts w:cs="Arial"/>
          <w:b/>
          <w:i/>
          <w:color w:val="000000"/>
          <w:lang w:val="fr-FR"/>
        </w:rPr>
      </w:pPr>
      <w:r w:rsidRPr="007D398B">
        <w:rPr>
          <w:rFonts w:cs="Arial"/>
          <w:b/>
          <w:i/>
          <w:color w:val="000000"/>
          <w:lang w:val="fr-FR"/>
        </w:rPr>
        <w:t>Centres de formation spécialisés</w:t>
      </w:r>
    </w:p>
    <w:p w:rsidR="00B80B85" w:rsidRPr="007D398B" w:rsidRDefault="00B80B85" w:rsidP="00645C25">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424794" w:rsidRPr="007D398B" w:rsidRDefault="00B80B85" w:rsidP="00645C25">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r w:rsidRPr="007D398B">
        <w:rPr>
          <w:rFonts w:cs="Arial"/>
          <w:b/>
          <w:i/>
          <w:color w:val="000000"/>
          <w:lang w:val="fr-FR"/>
        </w:rPr>
        <w:t>***</w:t>
      </w:r>
      <w:r w:rsidR="00424794" w:rsidRPr="007D398B">
        <w:rPr>
          <w:rFonts w:cs="Arial"/>
          <w:b/>
          <w:i/>
          <w:color w:val="000000"/>
          <w:lang w:val="fr-FR"/>
        </w:rPr>
        <w:t xml:space="preserve"> </w:t>
      </w:r>
    </w:p>
    <w:p w:rsidR="00424794" w:rsidRPr="007D398B" w:rsidRDefault="00424794" w:rsidP="00645C25">
      <w:pPr>
        <w:pBdr>
          <w:top w:val="single" w:sz="4" w:space="2" w:color="C0C0C0"/>
          <w:left w:val="single" w:sz="4" w:space="2" w:color="C0C0C0"/>
          <w:bottom w:val="single" w:sz="4" w:space="2" w:color="C0C0C0"/>
          <w:right w:val="single" w:sz="4" w:space="2" w:color="C0C0C0"/>
        </w:pBdr>
        <w:shd w:val="pct70" w:color="FFFFFF" w:fill="C0C0C0"/>
        <w:jc w:val="center"/>
        <w:rPr>
          <w:rFonts w:cs="Arial"/>
          <w:b/>
          <w:i/>
          <w:color w:val="000000"/>
          <w:lang w:val="fr-FR"/>
        </w:rPr>
      </w:pPr>
    </w:p>
    <w:p w:rsidR="00424794" w:rsidRPr="007D398B" w:rsidRDefault="00645C25" w:rsidP="00645C25">
      <w:pPr>
        <w:rPr>
          <w:lang w:val="fr-FR"/>
        </w:rPr>
      </w:pPr>
      <w:r w:rsidRPr="007D398B">
        <w:rPr>
          <w:rFonts w:cs="Arial"/>
          <w:color w:val="000000"/>
          <w:lang w:val="fr-FR"/>
        </w:rPr>
        <w:t>La création de centres de compétences sectoriels est un jalon dans l’histoire de l’IFP :</w:t>
      </w:r>
      <w:r w:rsidR="00295A48" w:rsidRPr="007D398B">
        <w:rPr>
          <w:rFonts w:cs="Arial"/>
          <w:color w:val="000000"/>
          <w:lang w:val="fr-FR"/>
        </w:rPr>
        <w:t xml:space="preserve"> </w:t>
      </w:r>
      <w:r w:rsidRPr="007D398B">
        <w:rPr>
          <w:rFonts w:cs="Arial"/>
          <w:color w:val="000000"/>
          <w:lang w:val="fr-FR"/>
        </w:rPr>
        <w:t>FormAlim pour l’industrie alimentaire et</w:t>
      </w:r>
      <w:r w:rsidR="008548D3" w:rsidRPr="007D398B">
        <w:rPr>
          <w:rFonts w:cs="Arial"/>
          <w:color w:val="000000"/>
          <w:lang w:val="fr-FR"/>
        </w:rPr>
        <w:t xml:space="preserve"> Epicuris </w:t>
      </w:r>
      <w:r w:rsidR="00424794" w:rsidRPr="007D398B">
        <w:rPr>
          <w:lang w:val="fr-FR"/>
        </w:rPr>
        <w:t>pour les métiers de la bouche (traiteur, boucher, charcutier, boulanger, pâtissier, chocolatier, glacier, confiseur, préparateur de plats, …)</w:t>
      </w:r>
      <w:r w:rsidR="008548D3" w:rsidRPr="007D398B">
        <w:rPr>
          <w:rFonts w:cs="Arial"/>
          <w:color w:val="000000"/>
          <w:lang w:val="fr-FR"/>
        </w:rPr>
        <w:t>.</w:t>
      </w:r>
      <w:r w:rsidR="00424794" w:rsidRPr="007D398B">
        <w:rPr>
          <w:lang w:val="fr-FR"/>
        </w:rPr>
        <w:t xml:space="preserve"> Dans les deux cas, l’IFP est un partenaire associé à ces deux projets.</w:t>
      </w:r>
    </w:p>
    <w:p w:rsidR="00424794" w:rsidRPr="007D398B" w:rsidRDefault="00424794" w:rsidP="00645C25">
      <w:pPr>
        <w:pBdr>
          <w:top w:val="single" w:sz="4" w:space="2" w:color="C0C0C0"/>
          <w:left w:val="single" w:sz="4" w:space="2" w:color="C0C0C0"/>
          <w:bottom w:val="single" w:sz="4" w:space="2" w:color="C0C0C0"/>
          <w:right w:val="single" w:sz="4" w:space="2" w:color="C0C0C0"/>
        </w:pBdr>
        <w:shd w:val="pct70" w:color="FFFFFF" w:fill="C0C0C0"/>
        <w:rPr>
          <w:rFonts w:cs="Arial"/>
          <w:color w:val="000000"/>
          <w:lang w:val="fr-FR"/>
        </w:rPr>
      </w:pPr>
    </w:p>
    <w:p w:rsidR="00424794" w:rsidRPr="007D398B" w:rsidRDefault="00424794" w:rsidP="00645C25">
      <w:pPr>
        <w:pBdr>
          <w:top w:val="single" w:sz="4" w:space="2" w:color="C0C0C0"/>
          <w:left w:val="single" w:sz="4" w:space="2" w:color="C0C0C0"/>
          <w:bottom w:val="single" w:sz="4" w:space="2" w:color="C0C0C0"/>
          <w:right w:val="single" w:sz="4" w:space="2" w:color="C0C0C0"/>
        </w:pBdr>
        <w:shd w:val="pct70" w:color="FFFFFF" w:fill="C0C0C0"/>
        <w:rPr>
          <w:lang w:val="fr-FR"/>
        </w:rPr>
      </w:pPr>
      <w:r w:rsidRPr="007D398B">
        <w:rPr>
          <w:rFonts w:cs="Arial"/>
          <w:color w:val="000000"/>
          <w:lang w:val="fr-FR"/>
        </w:rPr>
        <w:t>C</w:t>
      </w:r>
      <w:r w:rsidRPr="007D398B">
        <w:rPr>
          <w:lang w:val="fr-FR"/>
        </w:rPr>
        <w:t xml:space="preserve">omme tous les autres Centres de Compétence, Epicuris et FormAlim doivent remplir les huit missions suivantes : </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la formation, y compris la formation continuée des formateurs et des enseignants</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la veille sur les métiers et les besoins de formation</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l’information et la sensibilisation</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 xml:space="preserve">l’aide à la définition des besoins et le conseil en formation </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la R&amp;D en matière pédagogique</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l’aide à l’insertion des demandeurs d’emploi</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 xml:space="preserve">le soutien au développement économique </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l’approche qualité</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la validation des compétences acquises</w:t>
      </w:r>
    </w:p>
    <w:p w:rsidR="00424794" w:rsidRPr="007D398B" w:rsidRDefault="00424794" w:rsidP="00B225DF">
      <w:pPr>
        <w:numPr>
          <w:ilvl w:val="0"/>
          <w:numId w:val="44"/>
        </w:numPr>
        <w:pBdr>
          <w:top w:val="single" w:sz="4" w:space="1" w:color="auto"/>
          <w:left w:val="single" w:sz="4" w:space="4" w:color="auto"/>
          <w:bottom w:val="single" w:sz="4" w:space="1" w:color="auto"/>
          <w:right w:val="single" w:sz="4" w:space="4" w:color="auto"/>
        </w:pBdr>
        <w:rPr>
          <w:lang w:val="fr-FR"/>
        </w:rPr>
      </w:pPr>
      <w:r w:rsidRPr="007D398B">
        <w:rPr>
          <w:lang w:val="fr-FR"/>
        </w:rPr>
        <w:t>le screening des compétences</w:t>
      </w:r>
    </w:p>
    <w:p w:rsidR="00B225DF" w:rsidRPr="007D398B" w:rsidRDefault="00B225DF" w:rsidP="00B225DF">
      <w:pPr>
        <w:pBdr>
          <w:top w:val="single" w:sz="4" w:space="1" w:color="auto"/>
          <w:left w:val="single" w:sz="4" w:space="4" w:color="auto"/>
          <w:bottom w:val="single" w:sz="4" w:space="1" w:color="auto"/>
          <w:right w:val="single" w:sz="4" w:space="4" w:color="auto"/>
        </w:pBdr>
        <w:rPr>
          <w:lang w:val="fr-FR"/>
        </w:rPr>
      </w:pPr>
    </w:p>
    <w:p w:rsidR="00B225DF" w:rsidRPr="007D398B" w:rsidRDefault="00B225DF" w:rsidP="00B225DF">
      <w:pPr>
        <w:pBdr>
          <w:top w:val="single" w:sz="4" w:space="1" w:color="auto"/>
          <w:left w:val="single" w:sz="4" w:space="4" w:color="auto"/>
          <w:bottom w:val="single" w:sz="4" w:space="1" w:color="auto"/>
          <w:right w:val="single" w:sz="4" w:space="4" w:color="auto"/>
        </w:pBdr>
        <w:rPr>
          <w:lang w:val="fr-FR"/>
        </w:rPr>
      </w:pPr>
      <w:r w:rsidRPr="007D398B">
        <w:rPr>
          <w:lang w:val="fr-FR"/>
        </w:rPr>
        <w:t xml:space="preserve">FormAlim, né de la volonté du Forem, du secteur de l’industrie alimentaire et de la Région Wallonne, vise à rendre tout participant acteur de sa formation par une mise en situation réelle de production: de la réception des matières premières au stockage des produits finis. Le stagiaire a la possibilité de </w:t>
      </w:r>
      <w:r w:rsidRPr="007D398B">
        <w:rPr>
          <w:lang w:val="fr-FR"/>
        </w:rPr>
        <w:lastRenderedPageBreak/>
        <w:t xml:space="preserve">pratiquer les différentes fonctions représentées sur une chaîne de production alimentaire dans </w:t>
      </w:r>
      <w:r w:rsidRPr="007D398B">
        <w:rPr>
          <w:b/>
          <w:bCs/>
          <w:lang w:val="fr-FR"/>
        </w:rPr>
        <w:t>les 3 ateliers pédagogiques</w:t>
      </w:r>
      <w:r w:rsidRPr="007D398B">
        <w:rPr>
          <w:lang w:val="fr-FR"/>
        </w:rPr>
        <w:t>:</w:t>
      </w:r>
    </w:p>
    <w:p w:rsidR="00B225DF" w:rsidRPr="007D398B" w:rsidRDefault="00B225DF" w:rsidP="00B225DF">
      <w:pPr>
        <w:numPr>
          <w:ilvl w:val="0"/>
          <w:numId w:val="45"/>
        </w:numPr>
        <w:pBdr>
          <w:top w:val="single" w:sz="4" w:space="1" w:color="auto"/>
          <w:left w:val="single" w:sz="4" w:space="4" w:color="auto"/>
          <w:bottom w:val="single" w:sz="4" w:space="1" w:color="auto"/>
          <w:right w:val="single" w:sz="4" w:space="4" w:color="auto"/>
        </w:pBdr>
        <w:rPr>
          <w:lang w:val="fr-FR"/>
        </w:rPr>
      </w:pPr>
      <w:r w:rsidRPr="007D398B">
        <w:rPr>
          <w:lang w:val="fr-FR"/>
        </w:rPr>
        <w:t>une mini usine de fabrication et de conditionnement de pralines</w:t>
      </w:r>
    </w:p>
    <w:p w:rsidR="00B225DF" w:rsidRPr="007D398B" w:rsidRDefault="00AD6341" w:rsidP="00B225DF">
      <w:pPr>
        <w:numPr>
          <w:ilvl w:val="0"/>
          <w:numId w:val="46"/>
        </w:numPr>
        <w:pBdr>
          <w:top w:val="single" w:sz="4" w:space="1" w:color="auto"/>
          <w:left w:val="single" w:sz="4" w:space="4" w:color="auto"/>
          <w:bottom w:val="single" w:sz="4" w:space="1" w:color="auto"/>
          <w:right w:val="single" w:sz="4" w:space="4" w:color="auto"/>
        </w:pBdr>
        <w:rPr>
          <w:lang w:val="fr-FR"/>
        </w:rPr>
      </w:pPr>
      <w:r w:rsidRPr="007D398B">
        <w:rPr>
          <w:lang w:val="fr-FR"/>
        </w:rPr>
        <w:t>une micro-</w:t>
      </w:r>
      <w:r w:rsidR="00B225DF" w:rsidRPr="007D398B">
        <w:rPr>
          <w:lang w:val="fr-FR"/>
        </w:rPr>
        <w:t>brasserie</w:t>
      </w:r>
    </w:p>
    <w:p w:rsidR="00B225DF" w:rsidRPr="007D398B" w:rsidRDefault="00B225DF" w:rsidP="00B225DF">
      <w:pPr>
        <w:numPr>
          <w:ilvl w:val="0"/>
          <w:numId w:val="47"/>
        </w:numPr>
        <w:pBdr>
          <w:top w:val="single" w:sz="4" w:space="1" w:color="auto"/>
          <w:left w:val="single" w:sz="4" w:space="4" w:color="auto"/>
          <w:bottom w:val="single" w:sz="4" w:space="1" w:color="auto"/>
          <w:right w:val="single" w:sz="4" w:space="4" w:color="auto"/>
        </w:pBdr>
        <w:rPr>
          <w:lang w:val="fr-FR"/>
        </w:rPr>
      </w:pPr>
      <w:r w:rsidRPr="007D398B">
        <w:rPr>
          <w:lang w:val="fr-FR"/>
        </w:rPr>
        <w:t>des pilotes permettant de connaître et utiliser les principaux process</w:t>
      </w:r>
      <w:r w:rsidR="00AD6341" w:rsidRPr="007D398B">
        <w:rPr>
          <w:lang w:val="fr-FR"/>
        </w:rPr>
        <w:t>us</w:t>
      </w:r>
      <w:r w:rsidRPr="007D398B">
        <w:rPr>
          <w:lang w:val="fr-FR"/>
        </w:rPr>
        <w:t xml:space="preserve"> de transformation du lait</w:t>
      </w:r>
      <w:r w:rsidR="00AD6341" w:rsidRPr="007D398B">
        <w:rPr>
          <w:lang w:val="fr-FR"/>
        </w:rPr>
        <w:t> </w:t>
      </w:r>
      <w:r w:rsidRPr="007D398B">
        <w:rPr>
          <w:lang w:val="fr-FR"/>
        </w:rPr>
        <w:t>: écrémeuse – pasteurisateur – stérilisateur – évaporateur- atomiseur- sécheur en lit fluidisé...</w:t>
      </w:r>
    </w:p>
    <w:p w:rsidR="00B225DF" w:rsidRPr="007D398B" w:rsidRDefault="00B225DF" w:rsidP="00B02C88">
      <w:pPr>
        <w:numPr>
          <w:ilvl w:val="0"/>
          <w:numId w:val="47"/>
        </w:numPr>
        <w:pBdr>
          <w:top w:val="single" w:sz="4" w:space="1" w:color="auto"/>
          <w:left w:val="single" w:sz="4" w:space="4" w:color="auto"/>
          <w:bottom w:val="single" w:sz="4" w:space="1" w:color="auto"/>
          <w:right w:val="single" w:sz="4" w:space="4" w:color="auto"/>
        </w:pBdr>
        <w:rPr>
          <w:lang w:val="fr-FR"/>
        </w:rPr>
      </w:pPr>
      <w:r w:rsidRPr="007D398B">
        <w:rPr>
          <w:lang w:val="fr-FR"/>
        </w:rPr>
        <w:t>des pilotes techniques pour les formations liées à la maintenance en industrie alimentaire</w:t>
      </w:r>
    </w:p>
    <w:p w:rsidR="00B225DF" w:rsidRPr="007D398B" w:rsidRDefault="00B225DF" w:rsidP="00B225DF">
      <w:pPr>
        <w:pBdr>
          <w:top w:val="single" w:sz="4" w:space="1" w:color="auto"/>
          <w:left w:val="single" w:sz="4" w:space="4" w:color="auto"/>
          <w:bottom w:val="single" w:sz="4" w:space="1" w:color="auto"/>
          <w:right w:val="single" w:sz="4" w:space="4" w:color="auto"/>
        </w:pBdr>
        <w:jc w:val="both"/>
        <w:rPr>
          <w:lang w:val="fr-FR"/>
        </w:rPr>
      </w:pPr>
    </w:p>
    <w:p w:rsidR="00B225DF" w:rsidRPr="007D398B" w:rsidRDefault="00B225DF" w:rsidP="00B225DF">
      <w:pPr>
        <w:pBdr>
          <w:top w:val="single" w:sz="4" w:space="1" w:color="auto"/>
          <w:left w:val="single" w:sz="4" w:space="4" w:color="auto"/>
          <w:bottom w:val="single" w:sz="4" w:space="1" w:color="auto"/>
          <w:right w:val="single" w:sz="4" w:space="4" w:color="auto"/>
        </w:pBdr>
        <w:rPr>
          <w:lang w:val="fr-FR"/>
        </w:rPr>
      </w:pPr>
      <w:r w:rsidRPr="007D398B">
        <w:rPr>
          <w:lang w:val="fr-FR"/>
        </w:rPr>
        <w:t>Epicuris, centre des métiers de bouche est devenu centre de compétence labellisé le 28 mai 2004.</w:t>
      </w:r>
      <w:r w:rsidR="00B67161" w:rsidRPr="007D398B">
        <w:rPr>
          <w:lang w:val="fr-FR"/>
        </w:rPr>
        <w:t xml:space="preserve"> </w:t>
      </w:r>
      <w:r w:rsidRPr="007D398B">
        <w:rPr>
          <w:lang w:val="fr-FR"/>
        </w:rPr>
        <w:t>Il est né d’un partenariat entre différentes institutions qui se sont associées pour constituer l’ASBL dès le 1er septembre 2004 à savoir :</w:t>
      </w:r>
    </w:p>
    <w:p w:rsidR="00B225DF" w:rsidRPr="007D398B" w:rsidRDefault="00B225DF" w:rsidP="00B225DF">
      <w:pPr>
        <w:numPr>
          <w:ilvl w:val="0"/>
          <w:numId w:val="48"/>
        </w:numPr>
        <w:pBdr>
          <w:top w:val="single" w:sz="4" w:space="1" w:color="auto"/>
          <w:left w:val="single" w:sz="4" w:space="4" w:color="auto"/>
          <w:bottom w:val="single" w:sz="4" w:space="1" w:color="auto"/>
          <w:right w:val="single" w:sz="4" w:space="4" w:color="auto"/>
        </w:pBdr>
        <w:rPr>
          <w:lang w:val="fr-FR"/>
        </w:rPr>
      </w:pPr>
      <w:r w:rsidRPr="007D398B">
        <w:rPr>
          <w:lang w:val="fr-FR"/>
        </w:rPr>
        <w:t xml:space="preserve">l’IFAPME, le Forem, le centre de Formation PME Liège-Huy-Waremme, </w:t>
      </w:r>
    </w:p>
    <w:p w:rsidR="00B225DF" w:rsidRPr="007D398B" w:rsidRDefault="00B225DF" w:rsidP="00B225DF">
      <w:pPr>
        <w:numPr>
          <w:ilvl w:val="0"/>
          <w:numId w:val="48"/>
        </w:numPr>
        <w:pBdr>
          <w:top w:val="single" w:sz="4" w:space="1" w:color="auto"/>
          <w:left w:val="single" w:sz="4" w:space="4" w:color="auto"/>
          <w:bottom w:val="single" w:sz="4" w:space="1" w:color="auto"/>
          <w:right w:val="single" w:sz="4" w:space="4" w:color="auto"/>
        </w:pBdr>
        <w:rPr>
          <w:lang w:val="fr-FR"/>
        </w:rPr>
      </w:pPr>
      <w:r w:rsidRPr="007D398B">
        <w:rPr>
          <w:lang w:val="fr-FR"/>
        </w:rPr>
        <w:t>le secteur de l’Hôtellerie et de la restauration par l’intermédiaire du Centre wallon de formation et de per</w:t>
      </w:r>
      <w:r w:rsidR="00AD6341" w:rsidRPr="007D398B">
        <w:rPr>
          <w:lang w:val="fr-FR"/>
        </w:rPr>
        <w:t>fectionnement du secteur Horeca</w:t>
      </w:r>
      <w:r w:rsidRPr="007D398B">
        <w:rPr>
          <w:lang w:val="fr-FR"/>
        </w:rPr>
        <w:t xml:space="preserve">, </w:t>
      </w:r>
    </w:p>
    <w:p w:rsidR="00B225DF" w:rsidRPr="007D398B" w:rsidRDefault="00B225DF" w:rsidP="00B225DF">
      <w:pPr>
        <w:numPr>
          <w:ilvl w:val="0"/>
          <w:numId w:val="48"/>
        </w:numPr>
        <w:pBdr>
          <w:top w:val="single" w:sz="4" w:space="1" w:color="auto"/>
          <w:left w:val="single" w:sz="4" w:space="4" w:color="auto"/>
          <w:bottom w:val="single" w:sz="4" w:space="1" w:color="auto"/>
          <w:right w:val="single" w:sz="4" w:space="4" w:color="auto"/>
        </w:pBdr>
        <w:rPr>
          <w:lang w:val="fr-FR"/>
        </w:rPr>
      </w:pPr>
      <w:r w:rsidRPr="007D398B">
        <w:rPr>
          <w:lang w:val="fr-FR"/>
        </w:rPr>
        <w:t>l’industrie alimentaire par l’intermédiaire de l’IFP.</w:t>
      </w:r>
    </w:p>
    <w:p w:rsidR="00EF3F59" w:rsidRPr="007F1538" w:rsidRDefault="00B225DF" w:rsidP="00263445">
      <w:pPr>
        <w:pBdr>
          <w:top w:val="single" w:sz="4" w:space="1" w:color="auto"/>
          <w:left w:val="single" w:sz="4" w:space="4" w:color="auto"/>
          <w:bottom w:val="single" w:sz="4" w:space="1" w:color="auto"/>
          <w:right w:val="single" w:sz="4" w:space="4" w:color="auto"/>
        </w:pBdr>
        <w:rPr>
          <w:lang w:val="fr-FR"/>
        </w:rPr>
      </w:pPr>
      <w:r w:rsidRPr="007D398B">
        <w:rPr>
          <w:lang w:val="fr-FR"/>
        </w:rPr>
        <w:t xml:space="preserve">Les publics cibles sont </w:t>
      </w:r>
      <w:r w:rsidR="003742FF" w:rsidRPr="007D398B">
        <w:rPr>
          <w:lang w:val="fr-FR"/>
        </w:rPr>
        <w:t xml:space="preserve">les </w:t>
      </w:r>
      <w:r w:rsidRPr="007D398B">
        <w:rPr>
          <w:lang w:val="fr-FR"/>
        </w:rPr>
        <w:t xml:space="preserve">demandeurs d'emploi, </w:t>
      </w:r>
      <w:r w:rsidR="003742FF" w:rsidRPr="007D398B">
        <w:rPr>
          <w:lang w:val="fr-FR"/>
        </w:rPr>
        <w:t xml:space="preserve">les </w:t>
      </w:r>
      <w:r w:rsidRPr="007D398B">
        <w:rPr>
          <w:lang w:val="fr-FR"/>
        </w:rPr>
        <w:t xml:space="preserve">travailleurs du secteur, </w:t>
      </w:r>
      <w:r w:rsidR="003742FF" w:rsidRPr="007D398B">
        <w:rPr>
          <w:lang w:val="fr-FR"/>
        </w:rPr>
        <w:t xml:space="preserve">les </w:t>
      </w:r>
      <w:r w:rsidRPr="007D398B">
        <w:rPr>
          <w:lang w:val="fr-FR"/>
        </w:rPr>
        <w:t xml:space="preserve">apprentis, </w:t>
      </w:r>
      <w:r w:rsidR="003742FF" w:rsidRPr="007D398B">
        <w:rPr>
          <w:lang w:val="fr-FR"/>
        </w:rPr>
        <w:t xml:space="preserve">les </w:t>
      </w:r>
      <w:r w:rsidRPr="007D398B">
        <w:rPr>
          <w:lang w:val="fr-FR"/>
        </w:rPr>
        <w:t xml:space="preserve">chefs d'entreprises, </w:t>
      </w:r>
      <w:r w:rsidR="003742FF" w:rsidRPr="007D398B">
        <w:rPr>
          <w:lang w:val="fr-FR"/>
        </w:rPr>
        <w:t xml:space="preserve">les </w:t>
      </w:r>
      <w:r w:rsidRPr="007D398B">
        <w:rPr>
          <w:lang w:val="fr-FR"/>
        </w:rPr>
        <w:t xml:space="preserve">étudiants et </w:t>
      </w:r>
      <w:r w:rsidR="003742FF" w:rsidRPr="007D398B">
        <w:rPr>
          <w:lang w:val="fr-FR"/>
        </w:rPr>
        <w:t xml:space="preserve">les </w:t>
      </w:r>
      <w:r w:rsidRPr="007D398B">
        <w:rPr>
          <w:lang w:val="fr-FR"/>
        </w:rPr>
        <w:t>enseignants</w:t>
      </w:r>
      <w:r w:rsidR="00354808" w:rsidRPr="007D398B">
        <w:rPr>
          <w:lang w:val="fr-FR"/>
        </w:rPr>
        <w:t>.</w:t>
      </w:r>
      <w:r w:rsidRPr="007D398B">
        <w:rPr>
          <w:lang w:val="fr-FR"/>
        </w:rPr>
        <w:t xml:space="preserve"> </w:t>
      </w:r>
      <w:r w:rsidR="00354808" w:rsidRPr="007D398B">
        <w:rPr>
          <w:lang w:val="fr-FR"/>
        </w:rPr>
        <w:t xml:space="preserve">Les </w:t>
      </w:r>
      <w:r w:rsidRPr="007D398B">
        <w:rPr>
          <w:lang w:val="fr-FR"/>
        </w:rPr>
        <w:t xml:space="preserve">formations </w:t>
      </w:r>
      <w:r w:rsidR="00354808" w:rsidRPr="007D398B">
        <w:rPr>
          <w:lang w:val="fr-FR"/>
        </w:rPr>
        <w:t xml:space="preserve">organisées </w:t>
      </w:r>
      <w:r w:rsidRPr="007D398B">
        <w:rPr>
          <w:lang w:val="fr-FR"/>
        </w:rPr>
        <w:t>sont liées aux métiers suivants : boucher-charcutier, découpeurs-désosseurs, boulanger-pâtissier, chocolatier-confiseur, glacier.</w:t>
      </w:r>
    </w:p>
    <w:p w:rsidR="009D07C4" w:rsidRPr="007F1538" w:rsidRDefault="009D07C4" w:rsidP="009D07C4">
      <w:pPr>
        <w:rPr>
          <w:b/>
          <w:szCs w:val="24"/>
          <w:lang w:val="fr-FR" w:eastAsia="pl-PL"/>
        </w:rPr>
      </w:pPr>
    </w:p>
    <w:p w:rsidR="00B80B85" w:rsidRPr="007F1538" w:rsidRDefault="00645C25" w:rsidP="009D07C4">
      <w:pPr>
        <w:rPr>
          <w:szCs w:val="24"/>
          <w:lang w:val="fr-FR" w:eastAsia="pl-PL"/>
        </w:rPr>
      </w:pPr>
      <w:r w:rsidRPr="00D30409">
        <w:rPr>
          <w:szCs w:val="24"/>
          <w:lang w:val="fr-FR" w:eastAsia="pl-PL"/>
        </w:rPr>
        <w:t>En communauté française, le secteur avait déjà démarré précédemment la validation des com</w:t>
      </w:r>
      <w:r w:rsidR="00D30409" w:rsidRPr="00D30409">
        <w:rPr>
          <w:szCs w:val="24"/>
          <w:lang w:val="fr-FR" w:eastAsia="pl-PL"/>
        </w:rPr>
        <w:t xml:space="preserve">pétences acquises, notamment pour </w:t>
      </w:r>
      <w:r w:rsidRPr="00D30409">
        <w:rPr>
          <w:szCs w:val="24"/>
          <w:lang w:val="fr-FR" w:eastAsia="pl-PL"/>
        </w:rPr>
        <w:t>les métiers de boulanger pâtissier (en collaboration avec Epicuris) et de découpeur/désosseur (en collaboration avec IFAPME Libramont et Epicuris).</w:t>
      </w:r>
      <w:r w:rsidR="00B80B85" w:rsidRPr="007F1538">
        <w:rPr>
          <w:szCs w:val="24"/>
          <w:lang w:val="fr-FR" w:eastAsia="pl-PL"/>
        </w:rPr>
        <w:t xml:space="preserve"> </w:t>
      </w:r>
      <w:r w:rsidR="00D44F4A">
        <w:rPr>
          <w:szCs w:val="24"/>
          <w:lang w:val="fr-FR" w:eastAsia="pl-PL"/>
        </w:rPr>
        <w:t xml:space="preserve">Le métier d’assistant opérateur </w:t>
      </w:r>
      <w:r w:rsidRPr="00645C25">
        <w:rPr>
          <w:szCs w:val="24"/>
          <w:lang w:val="fr-FR" w:eastAsia="pl-PL"/>
        </w:rPr>
        <w:t>de production s’est ajouté en 2009 (en collaboration avec FormAlim).</w:t>
      </w:r>
      <w:r w:rsidR="00B27CE5" w:rsidRPr="007F1538">
        <w:rPr>
          <w:szCs w:val="24"/>
          <w:lang w:val="fr-FR" w:eastAsia="pl-PL"/>
        </w:rPr>
        <w:t xml:space="preserve"> </w:t>
      </w:r>
      <w:r w:rsidRPr="00645C25">
        <w:rPr>
          <w:szCs w:val="24"/>
          <w:lang w:val="fr-FR" w:eastAsia="pl-PL"/>
        </w:rPr>
        <w:t>Les attestations suivantes ont été délivrées en 2009 :</w:t>
      </w:r>
      <w:r w:rsidR="00B27CE5" w:rsidRPr="007F1538">
        <w:rPr>
          <w:szCs w:val="24"/>
          <w:lang w:val="fr-FR" w:eastAsia="pl-PL"/>
        </w:rPr>
        <w:t xml:space="preserve"> </w:t>
      </w:r>
      <w:r w:rsidRPr="00645C25">
        <w:rPr>
          <w:szCs w:val="24"/>
          <w:lang w:val="fr-FR" w:eastAsia="pl-PL"/>
        </w:rPr>
        <w:t>12 découpeurs/désosseurs et 14 boulangers pâtissiers.</w:t>
      </w:r>
      <w:r w:rsidR="00B27CE5" w:rsidRPr="007F1538">
        <w:rPr>
          <w:szCs w:val="24"/>
          <w:lang w:val="fr-FR" w:eastAsia="pl-PL"/>
        </w:rPr>
        <w:t xml:space="preserve"> </w:t>
      </w:r>
    </w:p>
    <w:p w:rsidR="00B80B85" w:rsidRPr="007F1538" w:rsidRDefault="00B80B85" w:rsidP="009D07C4">
      <w:pPr>
        <w:rPr>
          <w:szCs w:val="24"/>
          <w:lang w:val="fr-FR" w:eastAsia="pl-PL"/>
        </w:rPr>
      </w:pPr>
    </w:p>
    <w:p w:rsidR="009D07C4" w:rsidRPr="007F1538" w:rsidRDefault="00645C25" w:rsidP="009D07C4">
      <w:pPr>
        <w:rPr>
          <w:szCs w:val="24"/>
          <w:lang w:val="fr-FR" w:eastAsia="pl-PL"/>
        </w:rPr>
      </w:pPr>
      <w:r w:rsidRPr="00645C25">
        <w:rPr>
          <w:szCs w:val="24"/>
          <w:lang w:val="fr-FR" w:eastAsia="pl-PL"/>
        </w:rPr>
        <w:t>En région flamande, un premier centre de test, le centre de test Vleesbewerking Diksmuide, a été mis sur pied en 2009.</w:t>
      </w:r>
      <w:r w:rsidR="001F1585" w:rsidRPr="007F1538">
        <w:rPr>
          <w:szCs w:val="24"/>
          <w:lang w:val="fr-FR" w:eastAsia="pl-PL"/>
        </w:rPr>
        <w:t xml:space="preserve"> </w:t>
      </w:r>
      <w:r w:rsidRPr="00645C25">
        <w:rPr>
          <w:lang w:val="fr-FR"/>
        </w:rPr>
        <w:t>Depuis sa création, 18 attestations d’expérience ont été délivrées.</w:t>
      </w:r>
    </w:p>
    <w:p w:rsidR="00EE0B98" w:rsidRPr="007F1538" w:rsidRDefault="00645C25" w:rsidP="00645C25">
      <w:pPr>
        <w:pStyle w:val="Heading4"/>
        <w:rPr>
          <w:lang w:val="fr-FR"/>
        </w:rPr>
      </w:pPr>
      <w:r w:rsidRPr="00645C25">
        <w:rPr>
          <w:lang w:val="fr-FR"/>
        </w:rPr>
        <w:t>Le fonctionnement spécifique à destination des boulangers a porté ses fruits</w:t>
      </w:r>
    </w:p>
    <w:p w:rsidR="009D07C4" w:rsidRPr="007F1538" w:rsidRDefault="009D07C4" w:rsidP="00EE0B98">
      <w:pPr>
        <w:rPr>
          <w:rFonts w:cs="Arial"/>
          <w:lang w:val="fr-FR"/>
        </w:rPr>
      </w:pPr>
    </w:p>
    <w:p w:rsidR="009D07C4" w:rsidRPr="007F1538" w:rsidRDefault="00B67161" w:rsidP="00EE0B98">
      <w:pPr>
        <w:rPr>
          <w:rFonts w:cs="Arial"/>
          <w:lang w:val="fr-FR"/>
        </w:rPr>
      </w:pPr>
      <w:r>
        <w:rPr>
          <w:rFonts w:cs="Arial"/>
          <w:lang w:val="fr-FR"/>
        </w:rPr>
        <w:t>Une</w:t>
      </w:r>
      <w:r w:rsidR="00645C25" w:rsidRPr="00645C25">
        <w:rPr>
          <w:rFonts w:cs="Arial"/>
          <w:lang w:val="fr-FR"/>
        </w:rPr>
        <w:t xml:space="preserve"> part importante de l’industrie alimentaire se compose d’artisans boulangers.</w:t>
      </w:r>
      <w:r w:rsidR="002053BC" w:rsidRPr="007F1538">
        <w:rPr>
          <w:rFonts w:cs="Arial"/>
          <w:lang w:val="fr-FR"/>
        </w:rPr>
        <w:t xml:space="preserve"> </w:t>
      </w:r>
      <w:r w:rsidR="00645C25" w:rsidRPr="00645C25">
        <w:rPr>
          <w:rFonts w:cs="Arial"/>
          <w:lang w:val="fr-FR"/>
        </w:rPr>
        <w:t xml:space="preserve">Afin de pouvoir mieux répondre à leurs besoins et de faire mieux correspondre l'enseignement aux souhaits de ce sous-secteur, un conseiller spécifique pour les (artisans-)boulangers a été </w:t>
      </w:r>
      <w:r w:rsidR="002C192B">
        <w:rPr>
          <w:rFonts w:cs="Arial"/>
          <w:lang w:val="fr-FR"/>
        </w:rPr>
        <w:t>engagé</w:t>
      </w:r>
      <w:r w:rsidR="00645C25" w:rsidRPr="00645C25">
        <w:rPr>
          <w:rFonts w:cs="Arial"/>
          <w:lang w:val="fr-FR"/>
        </w:rPr>
        <w:t xml:space="preserve"> à la fin 2008.</w:t>
      </w:r>
      <w:r w:rsidR="009D07C4" w:rsidRPr="007F1538">
        <w:rPr>
          <w:rFonts w:cs="Arial"/>
          <w:lang w:val="fr-FR"/>
        </w:rPr>
        <w:t xml:space="preserve"> </w:t>
      </w:r>
      <w:r w:rsidR="00645C25" w:rsidRPr="00645C25">
        <w:rPr>
          <w:rFonts w:cs="Arial"/>
          <w:lang w:val="fr-FR"/>
        </w:rPr>
        <w:t>Les résultats de 2009 sont éloquents :</w:t>
      </w:r>
    </w:p>
    <w:p w:rsidR="00571862" w:rsidRPr="007F1538" w:rsidRDefault="00645C25" w:rsidP="00571862">
      <w:pPr>
        <w:numPr>
          <w:ilvl w:val="0"/>
          <w:numId w:val="7"/>
        </w:numPr>
        <w:rPr>
          <w:rFonts w:cs="Arial"/>
          <w:lang w:val="fr-FR"/>
        </w:rPr>
      </w:pPr>
      <w:r w:rsidRPr="00645C25">
        <w:rPr>
          <w:rFonts w:cs="Arial"/>
          <w:lang w:val="fr-FR"/>
        </w:rPr>
        <w:t xml:space="preserve">7 ateliers </w:t>
      </w:r>
      <w:r w:rsidR="002C192B">
        <w:rPr>
          <w:rFonts w:cs="Arial"/>
          <w:lang w:val="fr-FR"/>
        </w:rPr>
        <w:t>consacrés à l’</w:t>
      </w:r>
      <w:r w:rsidRPr="00645C25">
        <w:rPr>
          <w:rFonts w:cs="Arial"/>
          <w:lang w:val="fr-FR"/>
        </w:rPr>
        <w:t>autocontrôle (18 personnes présentes en moyenne, environ 50% de travailleurs et 50% d’employeurs)</w:t>
      </w:r>
    </w:p>
    <w:p w:rsidR="00571862" w:rsidRPr="007F1538" w:rsidRDefault="00645C25" w:rsidP="00571862">
      <w:pPr>
        <w:numPr>
          <w:ilvl w:val="0"/>
          <w:numId w:val="7"/>
        </w:numPr>
        <w:rPr>
          <w:rFonts w:cs="Arial"/>
          <w:lang w:val="fr-FR"/>
        </w:rPr>
      </w:pPr>
      <w:r w:rsidRPr="00645C25">
        <w:rPr>
          <w:rFonts w:cs="Arial"/>
          <w:lang w:val="fr-FR"/>
        </w:rPr>
        <w:t>Ateliers formations spécialisées</w:t>
      </w:r>
    </w:p>
    <w:p w:rsidR="00571862" w:rsidRPr="007F1538" w:rsidRDefault="00645C25" w:rsidP="00571862">
      <w:pPr>
        <w:numPr>
          <w:ilvl w:val="1"/>
          <w:numId w:val="7"/>
        </w:numPr>
        <w:rPr>
          <w:rFonts w:cs="Arial"/>
          <w:lang w:val="fr-FR"/>
        </w:rPr>
      </w:pPr>
      <w:r w:rsidRPr="00645C25">
        <w:rPr>
          <w:rFonts w:cs="Arial"/>
          <w:lang w:val="fr-FR"/>
        </w:rPr>
        <w:t>Pâtes réfrigérées :</w:t>
      </w:r>
      <w:r w:rsidR="00571862" w:rsidRPr="007F1538">
        <w:rPr>
          <w:rFonts w:cs="Arial"/>
          <w:lang w:val="fr-FR"/>
        </w:rPr>
        <w:t xml:space="preserve"> </w:t>
      </w:r>
      <w:r w:rsidRPr="00645C25">
        <w:rPr>
          <w:rFonts w:cs="Arial"/>
          <w:lang w:val="fr-FR"/>
        </w:rPr>
        <w:t>4 formations (à chaque fois de 15 participants)</w:t>
      </w:r>
    </w:p>
    <w:p w:rsidR="00571862" w:rsidRPr="007F1538" w:rsidRDefault="00645C25" w:rsidP="00571862">
      <w:pPr>
        <w:numPr>
          <w:ilvl w:val="1"/>
          <w:numId w:val="7"/>
        </w:numPr>
        <w:rPr>
          <w:rFonts w:cs="Arial"/>
          <w:lang w:val="fr-FR"/>
        </w:rPr>
      </w:pPr>
      <w:r w:rsidRPr="00645C25">
        <w:rPr>
          <w:rFonts w:cs="Arial"/>
          <w:lang w:val="fr-FR"/>
        </w:rPr>
        <w:t>Décoration de Pâques en chocolat (12 participants)</w:t>
      </w:r>
    </w:p>
    <w:p w:rsidR="00571862" w:rsidRPr="007F1538" w:rsidRDefault="00645C25" w:rsidP="00571862">
      <w:pPr>
        <w:numPr>
          <w:ilvl w:val="1"/>
          <w:numId w:val="7"/>
        </w:numPr>
        <w:rPr>
          <w:rFonts w:cs="Arial"/>
          <w:lang w:val="fr-FR"/>
        </w:rPr>
      </w:pPr>
      <w:r w:rsidRPr="00645C25">
        <w:rPr>
          <w:rFonts w:cs="Arial"/>
          <w:lang w:val="fr-FR"/>
        </w:rPr>
        <w:t>Massepain, base et niveau avancé (18 participants)</w:t>
      </w:r>
    </w:p>
    <w:p w:rsidR="00571862" w:rsidRPr="007F1538" w:rsidRDefault="00645C25" w:rsidP="00571862">
      <w:pPr>
        <w:numPr>
          <w:ilvl w:val="1"/>
          <w:numId w:val="7"/>
        </w:numPr>
        <w:rPr>
          <w:rFonts w:cs="Arial"/>
          <w:lang w:val="fr-FR"/>
        </w:rPr>
      </w:pPr>
      <w:r w:rsidRPr="00645C25">
        <w:rPr>
          <w:rFonts w:cs="Arial"/>
          <w:lang w:val="fr-FR"/>
        </w:rPr>
        <w:t>Pains de fête et décoratifs :</w:t>
      </w:r>
      <w:r w:rsidR="00571862" w:rsidRPr="007F1538">
        <w:rPr>
          <w:rFonts w:cs="Arial"/>
          <w:lang w:val="fr-FR"/>
        </w:rPr>
        <w:t xml:space="preserve"> </w:t>
      </w:r>
      <w:r w:rsidRPr="00645C25">
        <w:rPr>
          <w:rFonts w:cs="Arial"/>
          <w:lang w:val="fr-FR"/>
        </w:rPr>
        <w:t>2 formations (à chaque fois de 12 participants)</w:t>
      </w:r>
    </w:p>
    <w:p w:rsidR="00571862" w:rsidRPr="007F1538" w:rsidRDefault="00645C25" w:rsidP="00571862">
      <w:pPr>
        <w:numPr>
          <w:ilvl w:val="1"/>
          <w:numId w:val="7"/>
        </w:numPr>
        <w:rPr>
          <w:rFonts w:cs="Arial"/>
          <w:lang w:val="fr-FR"/>
        </w:rPr>
      </w:pPr>
      <w:r w:rsidRPr="00645C25">
        <w:rPr>
          <w:rFonts w:cs="Arial"/>
          <w:lang w:val="fr-FR"/>
        </w:rPr>
        <w:t>Bouchées chaudes et froides (11 participants)</w:t>
      </w:r>
    </w:p>
    <w:p w:rsidR="00571862" w:rsidRPr="007F1538" w:rsidRDefault="00645C25" w:rsidP="00571862">
      <w:pPr>
        <w:numPr>
          <w:ilvl w:val="0"/>
          <w:numId w:val="7"/>
        </w:numPr>
        <w:rPr>
          <w:rFonts w:cs="Arial"/>
          <w:lang w:val="fr-FR"/>
        </w:rPr>
      </w:pPr>
      <w:r w:rsidRPr="00645C25">
        <w:rPr>
          <w:rFonts w:cs="Arial"/>
          <w:lang w:val="fr-FR"/>
        </w:rPr>
        <w:t>Formations sur mesure ‘autocontrôle’ :</w:t>
      </w:r>
      <w:r w:rsidR="00571862" w:rsidRPr="007F1538">
        <w:rPr>
          <w:rFonts w:cs="Arial"/>
          <w:lang w:val="fr-FR"/>
        </w:rPr>
        <w:t xml:space="preserve"> 7</w:t>
      </w:r>
    </w:p>
    <w:p w:rsidR="00571862" w:rsidRPr="007F1538" w:rsidRDefault="00645C25" w:rsidP="00571862">
      <w:pPr>
        <w:numPr>
          <w:ilvl w:val="0"/>
          <w:numId w:val="7"/>
        </w:numPr>
        <w:rPr>
          <w:rFonts w:cs="Arial"/>
          <w:lang w:val="fr-FR"/>
        </w:rPr>
      </w:pPr>
      <w:r w:rsidRPr="00645C25">
        <w:rPr>
          <w:rFonts w:cs="Arial"/>
          <w:lang w:val="fr-FR"/>
        </w:rPr>
        <w:t>Activités enseignement :</w:t>
      </w:r>
    </w:p>
    <w:p w:rsidR="00571862" w:rsidRPr="007F1538" w:rsidRDefault="00645C25" w:rsidP="00571862">
      <w:pPr>
        <w:numPr>
          <w:ilvl w:val="1"/>
          <w:numId w:val="7"/>
        </w:numPr>
        <w:rPr>
          <w:rFonts w:cs="Arial"/>
          <w:lang w:val="fr-FR"/>
        </w:rPr>
      </w:pPr>
      <w:r w:rsidRPr="00645C25">
        <w:rPr>
          <w:rFonts w:cs="Arial"/>
          <w:lang w:val="fr-FR"/>
        </w:rPr>
        <w:t>Formations autocontrôle :</w:t>
      </w:r>
      <w:r w:rsidR="00571862" w:rsidRPr="007F1538">
        <w:rPr>
          <w:rFonts w:cs="Arial"/>
          <w:lang w:val="fr-FR"/>
        </w:rPr>
        <w:t xml:space="preserve"> </w:t>
      </w:r>
      <w:r w:rsidRPr="00645C25">
        <w:rPr>
          <w:rFonts w:cs="Arial"/>
          <w:lang w:val="fr-FR"/>
        </w:rPr>
        <w:t>37 enseignants issus de 26 centres de formation</w:t>
      </w:r>
    </w:p>
    <w:p w:rsidR="00571862" w:rsidRPr="007F1538" w:rsidRDefault="00645C25" w:rsidP="00571862">
      <w:pPr>
        <w:numPr>
          <w:ilvl w:val="1"/>
          <w:numId w:val="7"/>
        </w:numPr>
        <w:rPr>
          <w:rFonts w:cs="Arial"/>
          <w:lang w:val="fr-FR"/>
        </w:rPr>
      </w:pPr>
      <w:r w:rsidRPr="00645C25">
        <w:rPr>
          <w:rFonts w:cs="Arial"/>
          <w:lang w:val="fr-FR"/>
        </w:rPr>
        <w:t>1 formation spécialisée :</w:t>
      </w:r>
      <w:r w:rsidR="00571862" w:rsidRPr="007F1538">
        <w:rPr>
          <w:rFonts w:cs="Arial"/>
          <w:lang w:val="fr-FR"/>
        </w:rPr>
        <w:t xml:space="preserve"> </w:t>
      </w:r>
      <w:r w:rsidRPr="00645C25">
        <w:rPr>
          <w:rFonts w:cs="Arial"/>
          <w:lang w:val="fr-FR"/>
        </w:rPr>
        <w:t>8 participants</w:t>
      </w:r>
    </w:p>
    <w:p w:rsidR="00571862" w:rsidRPr="007F1538" w:rsidRDefault="00645C25" w:rsidP="00571862">
      <w:pPr>
        <w:numPr>
          <w:ilvl w:val="1"/>
          <w:numId w:val="7"/>
        </w:numPr>
        <w:rPr>
          <w:rFonts w:cs="Arial"/>
          <w:lang w:val="fr-FR"/>
        </w:rPr>
      </w:pPr>
      <w:r w:rsidRPr="00645C25">
        <w:rPr>
          <w:rFonts w:cs="Arial"/>
          <w:lang w:val="fr-FR"/>
        </w:rPr>
        <w:t>Coordination manuel professionnel boulangerie en collaboration avec 10 écoles, 16 enseignants</w:t>
      </w:r>
    </w:p>
    <w:p w:rsidR="00571862" w:rsidRPr="007F1538" w:rsidRDefault="00645C25" w:rsidP="00571862">
      <w:pPr>
        <w:numPr>
          <w:ilvl w:val="1"/>
          <w:numId w:val="7"/>
        </w:numPr>
        <w:rPr>
          <w:rFonts w:cs="Arial"/>
          <w:lang w:val="fr-FR"/>
        </w:rPr>
      </w:pPr>
      <w:r w:rsidRPr="00645C25">
        <w:rPr>
          <w:rFonts w:cs="Arial"/>
          <w:lang w:val="fr-FR"/>
        </w:rPr>
        <w:t>Développement de matériel didactique HACCP pour les enseignants en boulangerie</w:t>
      </w:r>
    </w:p>
    <w:p w:rsidR="00571862" w:rsidRPr="00645C25" w:rsidRDefault="00645C25" w:rsidP="00571862">
      <w:pPr>
        <w:numPr>
          <w:ilvl w:val="1"/>
          <w:numId w:val="7"/>
        </w:numPr>
        <w:rPr>
          <w:rFonts w:cs="Arial"/>
          <w:lang w:val="fr-FR"/>
        </w:rPr>
      </w:pPr>
      <w:r w:rsidRPr="00645C25">
        <w:rPr>
          <w:rFonts w:cs="Arial"/>
          <w:lang w:val="fr-FR"/>
        </w:rPr>
        <w:t>Initiative Salon de l’Alimentation à Bruxelles (promotion du métier de boulanger en collaboration avec 21 centres de formation différents</w:t>
      </w:r>
      <w:r w:rsidR="002C192B">
        <w:rPr>
          <w:rFonts w:cs="Arial"/>
          <w:lang w:val="fr-FR"/>
        </w:rPr>
        <w:t>)</w:t>
      </w:r>
    </w:p>
    <w:p w:rsidR="003B3DDB" w:rsidRPr="007F1538" w:rsidRDefault="00933D35" w:rsidP="001914F8">
      <w:pPr>
        <w:numPr>
          <w:ilvl w:val="0"/>
          <w:numId w:val="7"/>
        </w:numPr>
        <w:rPr>
          <w:rFonts w:cs="Arial"/>
          <w:lang w:val="fr-FR"/>
        </w:rPr>
      </w:pPr>
      <w:r>
        <w:rPr>
          <w:rFonts w:cs="Arial"/>
          <w:lang w:val="fr-FR"/>
        </w:rPr>
        <w:t>Mise en ligne d’un site spécifique pour les boulangers</w:t>
      </w:r>
      <w:r w:rsidR="00645C25" w:rsidRPr="00645C25">
        <w:rPr>
          <w:rFonts w:cs="Arial"/>
          <w:lang w:val="fr-FR"/>
        </w:rPr>
        <w:t> :</w:t>
      </w:r>
      <w:r w:rsidR="00263445" w:rsidRPr="007F1538">
        <w:rPr>
          <w:rFonts w:cs="Arial"/>
          <w:lang w:val="fr-FR"/>
        </w:rPr>
        <w:t xml:space="preserve"> </w:t>
      </w:r>
      <w:hyperlink r:id="rId12" w:history="1">
        <w:r w:rsidR="00562BAC" w:rsidRPr="00A95898">
          <w:rPr>
            <w:rStyle w:val="Hyperlink"/>
            <w:rFonts w:cs="Arial"/>
            <w:lang w:val="fr-FR"/>
          </w:rPr>
          <w:t>http://boulangers.ipv-ifp.be</w:t>
        </w:r>
      </w:hyperlink>
      <w:r w:rsidR="00562BAC">
        <w:rPr>
          <w:rFonts w:cs="Arial"/>
          <w:lang w:val="fr-FR"/>
        </w:rPr>
        <w:t xml:space="preserve"> </w:t>
      </w:r>
    </w:p>
    <w:p w:rsidR="003B3DDB" w:rsidRPr="007F1538" w:rsidRDefault="00645C25" w:rsidP="00645C25">
      <w:pPr>
        <w:pStyle w:val="Heading4"/>
        <w:rPr>
          <w:lang w:val="fr-FR"/>
        </w:rPr>
      </w:pPr>
      <w:r w:rsidRPr="00645C25">
        <w:rPr>
          <w:lang w:val="fr-FR"/>
        </w:rPr>
        <w:t xml:space="preserve">Comment permettre aux </w:t>
      </w:r>
      <w:r w:rsidR="00E10FE0">
        <w:rPr>
          <w:lang w:val="fr-FR"/>
        </w:rPr>
        <w:t>moins l</w:t>
      </w:r>
      <w:r w:rsidRPr="00645C25">
        <w:rPr>
          <w:lang w:val="fr-FR"/>
        </w:rPr>
        <w:t>ettrés d’accéder au travail et aux formations ?</w:t>
      </w:r>
    </w:p>
    <w:p w:rsidR="003B3DDB" w:rsidRPr="007F1538" w:rsidRDefault="003B3DDB" w:rsidP="003B3DDB">
      <w:pPr>
        <w:rPr>
          <w:rFonts w:cs="Arial"/>
          <w:lang w:val="fr-FR"/>
        </w:rPr>
      </w:pPr>
    </w:p>
    <w:p w:rsidR="003B3DDB" w:rsidRPr="007F1538" w:rsidRDefault="009748C8" w:rsidP="003B3DDB">
      <w:pPr>
        <w:rPr>
          <w:rFonts w:cs="Arial"/>
          <w:lang w:val="fr-FR"/>
        </w:rPr>
      </w:pPr>
      <w:r w:rsidRPr="009748C8">
        <w:rPr>
          <w:rFonts w:cs="Arial"/>
          <w:lang w:val="fr-FR"/>
        </w:rPr>
        <w:lastRenderedPageBreak/>
        <w:t>Pour évoluer avec une entreprise, les collaborateurs doivent être capables d’acquérir rapidement de nouvelles compétences :</w:t>
      </w:r>
      <w:r w:rsidR="003B3DDB" w:rsidRPr="007F1538">
        <w:rPr>
          <w:rFonts w:cs="Arial"/>
          <w:lang w:val="fr-FR"/>
        </w:rPr>
        <w:t xml:space="preserve"> </w:t>
      </w:r>
      <w:r w:rsidRPr="009748C8">
        <w:rPr>
          <w:rFonts w:cs="Arial"/>
          <w:lang w:val="fr-FR"/>
        </w:rPr>
        <w:t>commander une nouvelle machine, compléter des documents de suivi, appliquer correctement des prescriptions de sécurité et d’hygiène plus strictes.</w:t>
      </w:r>
    </w:p>
    <w:p w:rsidR="003B3DDB" w:rsidRPr="007F1538" w:rsidRDefault="003B3DDB" w:rsidP="003B3DDB">
      <w:pPr>
        <w:rPr>
          <w:rFonts w:cs="Arial"/>
          <w:lang w:val="fr-FR"/>
        </w:rPr>
      </w:pPr>
    </w:p>
    <w:p w:rsidR="003B3DDB" w:rsidRPr="007F1538" w:rsidRDefault="009748C8" w:rsidP="003B3DDB">
      <w:pPr>
        <w:rPr>
          <w:rFonts w:cs="Arial"/>
          <w:lang w:val="fr-FR"/>
        </w:rPr>
      </w:pPr>
      <w:r w:rsidRPr="00AD6341">
        <w:rPr>
          <w:rFonts w:cs="Arial"/>
          <w:lang w:val="fr-FR"/>
        </w:rPr>
        <w:t>Nous ne sommes pas toujours conscients que ces tâches exigent des comp</w:t>
      </w:r>
      <w:r w:rsidR="00AD6341" w:rsidRPr="00AD6341">
        <w:rPr>
          <w:rFonts w:cs="Arial"/>
          <w:lang w:val="fr-FR"/>
        </w:rPr>
        <w:t>é</w:t>
      </w:r>
      <w:r w:rsidRPr="00AD6341">
        <w:rPr>
          <w:rFonts w:cs="Arial"/>
          <w:lang w:val="fr-FR"/>
        </w:rPr>
        <w:t>tences sous-jacentes telles que comprendre, lire et écrire le français, faire des calculs ou travailler sur un ordinateur.</w:t>
      </w:r>
      <w:r w:rsidR="003B3DDB" w:rsidRPr="007F1538">
        <w:rPr>
          <w:rFonts w:cs="Arial"/>
          <w:lang w:val="fr-FR"/>
        </w:rPr>
        <w:t xml:space="preserve"> </w:t>
      </w:r>
      <w:r w:rsidRPr="009748C8">
        <w:rPr>
          <w:rFonts w:cs="Arial"/>
          <w:lang w:val="fr-FR"/>
        </w:rPr>
        <w:t>Ce n’est pas évident pour tout le monde.</w:t>
      </w:r>
    </w:p>
    <w:p w:rsidR="003B3DDB" w:rsidRPr="007F1538" w:rsidRDefault="003B3DDB" w:rsidP="003B3DDB">
      <w:pPr>
        <w:rPr>
          <w:rFonts w:cs="Arial"/>
          <w:lang w:val="fr-FR"/>
        </w:rPr>
      </w:pPr>
    </w:p>
    <w:p w:rsidR="003B3DDB" w:rsidRPr="007F1538" w:rsidRDefault="009748C8" w:rsidP="003B3DDB">
      <w:pPr>
        <w:rPr>
          <w:rFonts w:cs="Arial"/>
          <w:lang w:val="fr-FR"/>
        </w:rPr>
      </w:pPr>
      <w:r w:rsidRPr="00AD6341">
        <w:rPr>
          <w:rFonts w:cs="Arial"/>
          <w:lang w:val="fr-FR"/>
        </w:rPr>
        <w:t>L’IFP a demandé à six entreprises alimentaires d’expliquer quelles actions elles ont mené</w:t>
      </w:r>
      <w:r w:rsidR="00AD6341" w:rsidRPr="00AD6341">
        <w:rPr>
          <w:rFonts w:cs="Arial"/>
          <w:lang w:val="fr-FR"/>
        </w:rPr>
        <w:t>es</w:t>
      </w:r>
      <w:r w:rsidRPr="00AD6341">
        <w:rPr>
          <w:rFonts w:cs="Arial"/>
          <w:lang w:val="fr-FR"/>
        </w:rPr>
        <w:t xml:space="preserve"> pour permettre à tous les membres de leur personnel d’accéder au lieu de travail et aux formations.</w:t>
      </w:r>
      <w:r w:rsidR="00B67161">
        <w:rPr>
          <w:rFonts w:cs="Arial"/>
          <w:lang w:val="fr-FR"/>
        </w:rPr>
        <w:t xml:space="preserve"> </w:t>
      </w:r>
      <w:r w:rsidRPr="009748C8">
        <w:rPr>
          <w:rFonts w:cs="Arial"/>
          <w:lang w:val="fr-FR"/>
        </w:rPr>
        <w:t>Une entreprise organise un cours de langue supplémentaire.</w:t>
      </w:r>
      <w:r w:rsidR="003B3DDB" w:rsidRPr="007F1538">
        <w:rPr>
          <w:rFonts w:cs="Arial"/>
          <w:lang w:val="fr-FR"/>
        </w:rPr>
        <w:t xml:space="preserve"> </w:t>
      </w:r>
      <w:r w:rsidRPr="009748C8">
        <w:rPr>
          <w:rFonts w:cs="Arial"/>
          <w:lang w:val="fr-FR"/>
        </w:rPr>
        <w:t>Une autre a opté pour visualiser les instructions de travail à l’aide de photos et pictogrammes.</w:t>
      </w:r>
      <w:r w:rsidR="003B3DDB" w:rsidRPr="007F1538">
        <w:rPr>
          <w:rFonts w:cs="Arial"/>
          <w:lang w:val="fr-FR"/>
        </w:rPr>
        <w:t xml:space="preserve"> </w:t>
      </w:r>
      <w:r w:rsidRPr="009748C8">
        <w:rPr>
          <w:rFonts w:cs="Arial"/>
          <w:lang w:val="fr-FR"/>
        </w:rPr>
        <w:t>Une troisième assure un accompagnement personnel lorsqu’un test de sécurité doit être effectué sur ordinateur.</w:t>
      </w:r>
    </w:p>
    <w:p w:rsidR="003B3DDB" w:rsidRPr="007F1538" w:rsidRDefault="003B3DDB" w:rsidP="003B3DDB">
      <w:pPr>
        <w:rPr>
          <w:rFonts w:cs="Arial"/>
          <w:lang w:val="fr-FR"/>
        </w:rPr>
      </w:pPr>
    </w:p>
    <w:p w:rsidR="003B3DDB" w:rsidRPr="007F1538" w:rsidRDefault="009748C8" w:rsidP="003B3DDB">
      <w:pPr>
        <w:rPr>
          <w:rFonts w:cs="Arial"/>
          <w:lang w:val="fr-FR"/>
        </w:rPr>
      </w:pPr>
      <w:r w:rsidRPr="009748C8">
        <w:rPr>
          <w:rFonts w:cs="Arial"/>
          <w:lang w:val="fr-FR"/>
        </w:rPr>
        <w:t xml:space="preserve">La publication s’inscrit dans l’accord </w:t>
      </w:r>
      <w:r w:rsidR="008712DD">
        <w:rPr>
          <w:rFonts w:cs="Arial"/>
          <w:lang w:val="fr-FR"/>
        </w:rPr>
        <w:t xml:space="preserve">passé </w:t>
      </w:r>
      <w:r w:rsidRPr="009748C8">
        <w:rPr>
          <w:rFonts w:cs="Arial"/>
          <w:lang w:val="fr-FR"/>
        </w:rPr>
        <w:t>avec le gouvernement flamand et a été baptisée ‘Sleutelen aan basiscompetenties op de werkvloer</w:t>
      </w:r>
      <w:r w:rsidR="008712DD">
        <w:rPr>
          <w:rStyle w:val="FootnoteReference"/>
          <w:rFonts w:cs="Arial"/>
          <w:lang w:val="fr-FR"/>
        </w:rPr>
        <w:footnoteReference w:id="7"/>
      </w:r>
      <w:r w:rsidRPr="009748C8">
        <w:rPr>
          <w:rFonts w:cs="Arial"/>
          <w:lang w:val="fr-FR"/>
        </w:rPr>
        <w:t>’ (voir :</w:t>
      </w:r>
      <w:r w:rsidR="003B3DDB" w:rsidRPr="007F1538">
        <w:rPr>
          <w:rFonts w:cs="Arial"/>
          <w:lang w:val="fr-FR"/>
        </w:rPr>
        <w:t xml:space="preserve"> </w:t>
      </w:r>
      <w:hyperlink r:id="rId13" w:history="1">
        <w:r w:rsidR="00963702" w:rsidRPr="004D4AC7">
          <w:rPr>
            <w:rStyle w:val="Hyperlink"/>
            <w:rFonts w:cs="Arial"/>
            <w:lang w:val="fr-FR"/>
          </w:rPr>
          <w:t>www.ipv-ifp.be/publications</w:t>
        </w:r>
      </w:hyperlink>
      <w:r w:rsidR="00963702">
        <w:rPr>
          <w:rFonts w:cs="Arial"/>
          <w:lang w:val="fr-FR"/>
        </w:rPr>
        <w:t xml:space="preserve"> </w:t>
      </w:r>
      <w:r w:rsidRPr="009748C8">
        <w:rPr>
          <w:rFonts w:cs="Arial"/>
          <w:lang w:val="fr-FR"/>
        </w:rPr>
        <w:t>).</w:t>
      </w:r>
    </w:p>
    <w:p w:rsidR="001743BD" w:rsidRPr="007F1538" w:rsidRDefault="00263445" w:rsidP="001914F8">
      <w:pPr>
        <w:rPr>
          <w:rFonts w:cs="Arial"/>
          <w:lang w:val="fr-FR"/>
        </w:rPr>
      </w:pPr>
      <w:r w:rsidRPr="007F1538">
        <w:rPr>
          <w:rFonts w:cs="Arial"/>
          <w:lang w:val="fr-FR"/>
        </w:rPr>
        <w:br w:type="page"/>
      </w:r>
    </w:p>
    <w:p w:rsidR="00A73AD2" w:rsidRPr="007F1538" w:rsidRDefault="003511DA" w:rsidP="003511DA">
      <w:pPr>
        <w:pStyle w:val="Heading2"/>
        <w:rPr>
          <w:lang w:val="fr-FR"/>
        </w:rPr>
      </w:pPr>
      <w:bookmarkStart w:id="90" w:name="_Toc267060135"/>
      <w:bookmarkStart w:id="91" w:name="_Toc269220689"/>
      <w:r w:rsidRPr="003511DA">
        <w:rPr>
          <w:lang w:val="fr-FR"/>
        </w:rPr>
        <w:lastRenderedPageBreak/>
        <w:t>Les moyens financiers de l’IFP</w:t>
      </w:r>
      <w:bookmarkEnd w:id="90"/>
      <w:bookmarkEnd w:id="91"/>
      <w:r w:rsidR="00EA643F" w:rsidRPr="007F1538">
        <w:rPr>
          <w:lang w:val="fr-FR"/>
        </w:rPr>
        <w:t xml:space="preserve"> </w:t>
      </w:r>
    </w:p>
    <w:p w:rsidR="00C344A7" w:rsidRPr="007F1538" w:rsidRDefault="003511DA" w:rsidP="00AE6332">
      <w:pPr>
        <w:rPr>
          <w:rFonts w:cs="Arial"/>
          <w:lang w:val="fr-FR"/>
        </w:rPr>
      </w:pPr>
      <w:r w:rsidRPr="003511DA">
        <w:rPr>
          <w:rFonts w:cs="Arial"/>
          <w:lang w:val="fr-FR"/>
        </w:rPr>
        <w:t>Chaque année, après le contrôle des réviseurs, le rapport annuel financier est approuvé par l’assemblée générale qui se réunit en juin.</w:t>
      </w:r>
      <w:r w:rsidR="00C344A7" w:rsidRPr="007F1538">
        <w:rPr>
          <w:rFonts w:cs="Arial"/>
          <w:lang w:val="fr-FR"/>
        </w:rPr>
        <w:t xml:space="preserve"> </w:t>
      </w:r>
      <w:r w:rsidRPr="003511DA">
        <w:rPr>
          <w:rFonts w:cs="Arial"/>
          <w:lang w:val="fr-FR"/>
        </w:rPr>
        <w:t>Les résultats financiers pour 2009 se présentent comme suit :</w:t>
      </w:r>
    </w:p>
    <w:p w:rsidR="00A73AD2" w:rsidRPr="007F1538" w:rsidRDefault="00A73AD2">
      <w:pPr>
        <w:tabs>
          <w:tab w:val="left" w:pos="360"/>
        </w:tabs>
        <w:rPr>
          <w:rFonts w:cs="Arial"/>
          <w:lang w:val="fr-FR"/>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0"/>
        <w:gridCol w:w="1384"/>
      </w:tblGrid>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Produits d’exploitation (marge brute)</w:t>
            </w:r>
          </w:p>
        </w:tc>
        <w:tc>
          <w:tcPr>
            <w:tcW w:w="1384" w:type="dxa"/>
            <w:shd w:val="clear" w:color="auto" w:fill="auto"/>
            <w:vAlign w:val="bottom"/>
          </w:tcPr>
          <w:p w:rsidR="007D441C" w:rsidRPr="007F1538" w:rsidRDefault="00196D04" w:rsidP="00196D04">
            <w:pPr>
              <w:jc w:val="right"/>
              <w:divId w:val="733552346"/>
              <w:rPr>
                <w:rFonts w:ascii="Calibri" w:hAnsi="Calibri"/>
                <w:color w:val="000000"/>
                <w:sz w:val="22"/>
                <w:szCs w:val="22"/>
                <w:lang w:val="fr-FR"/>
              </w:rPr>
            </w:pPr>
            <w:r w:rsidRPr="007F1538">
              <w:rPr>
                <w:rFonts w:ascii="Calibri" w:hAnsi="Calibri"/>
                <w:color w:val="000000"/>
                <w:sz w:val="22"/>
                <w:szCs w:val="22"/>
                <w:lang w:val="fr-FR"/>
              </w:rPr>
              <w:t>6.155.194</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Charges d’exploitation</w:t>
            </w:r>
          </w:p>
        </w:tc>
        <w:tc>
          <w:tcPr>
            <w:tcW w:w="1384" w:type="dxa"/>
            <w:shd w:val="clear" w:color="auto" w:fill="auto"/>
            <w:vAlign w:val="bottom"/>
          </w:tcPr>
          <w:p w:rsidR="007D441C" w:rsidRPr="007F1538" w:rsidRDefault="00BC5629" w:rsidP="00BC5629">
            <w:pPr>
              <w:jc w:val="right"/>
              <w:rPr>
                <w:rFonts w:ascii="Calibri" w:hAnsi="Calibri"/>
                <w:color w:val="000000"/>
                <w:sz w:val="22"/>
                <w:szCs w:val="22"/>
                <w:lang w:val="fr-FR"/>
              </w:rPr>
            </w:pPr>
            <w:r w:rsidRPr="007F1538">
              <w:rPr>
                <w:rFonts w:ascii="Calibri" w:hAnsi="Calibri"/>
                <w:color w:val="000000"/>
                <w:sz w:val="22"/>
                <w:szCs w:val="22"/>
                <w:lang w:val="fr-FR"/>
              </w:rPr>
              <w:t>6.725.247</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Profit/perte d’exploitation</w:t>
            </w:r>
          </w:p>
        </w:tc>
        <w:tc>
          <w:tcPr>
            <w:tcW w:w="1384" w:type="dxa"/>
            <w:shd w:val="clear" w:color="auto" w:fill="auto"/>
            <w:vAlign w:val="bottom"/>
          </w:tcPr>
          <w:p w:rsidR="007D441C" w:rsidRPr="007F1538" w:rsidRDefault="00BC5629" w:rsidP="00BC5629">
            <w:pPr>
              <w:jc w:val="right"/>
              <w:rPr>
                <w:rFonts w:ascii="Calibri" w:hAnsi="Calibri"/>
                <w:color w:val="000000"/>
                <w:sz w:val="22"/>
                <w:szCs w:val="22"/>
                <w:lang w:val="fr-FR"/>
              </w:rPr>
            </w:pPr>
            <w:r w:rsidRPr="007F1538">
              <w:rPr>
                <w:rFonts w:ascii="Calibri" w:hAnsi="Calibri"/>
                <w:color w:val="000000"/>
                <w:sz w:val="22"/>
                <w:szCs w:val="22"/>
                <w:lang w:val="fr-FR"/>
              </w:rPr>
              <w:t>-570.054</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Produits financiers</w:t>
            </w:r>
          </w:p>
        </w:tc>
        <w:tc>
          <w:tcPr>
            <w:tcW w:w="1384" w:type="dxa"/>
            <w:shd w:val="clear" w:color="auto" w:fill="auto"/>
            <w:vAlign w:val="bottom"/>
          </w:tcPr>
          <w:p w:rsidR="007D441C" w:rsidRPr="007F1538" w:rsidRDefault="00196D04" w:rsidP="00196D04">
            <w:pPr>
              <w:jc w:val="right"/>
              <w:rPr>
                <w:rFonts w:ascii="Calibri" w:hAnsi="Calibri"/>
                <w:color w:val="000000"/>
                <w:sz w:val="22"/>
                <w:szCs w:val="22"/>
                <w:lang w:val="fr-FR"/>
              </w:rPr>
            </w:pPr>
            <w:r w:rsidRPr="007F1538">
              <w:rPr>
                <w:rFonts w:ascii="Calibri" w:hAnsi="Calibri"/>
                <w:color w:val="000000"/>
                <w:sz w:val="22"/>
                <w:szCs w:val="22"/>
                <w:lang w:val="fr-FR"/>
              </w:rPr>
              <w:t>297.298</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Charges financières</w:t>
            </w:r>
          </w:p>
        </w:tc>
        <w:tc>
          <w:tcPr>
            <w:tcW w:w="1384" w:type="dxa"/>
            <w:shd w:val="clear" w:color="auto" w:fill="auto"/>
            <w:vAlign w:val="bottom"/>
          </w:tcPr>
          <w:p w:rsidR="007D441C" w:rsidRPr="007F1538" w:rsidRDefault="00196D04" w:rsidP="00196D04">
            <w:pPr>
              <w:jc w:val="right"/>
              <w:rPr>
                <w:rFonts w:ascii="Calibri" w:hAnsi="Calibri"/>
                <w:color w:val="000000"/>
                <w:sz w:val="22"/>
                <w:szCs w:val="22"/>
                <w:lang w:val="fr-FR"/>
              </w:rPr>
            </w:pPr>
            <w:r w:rsidRPr="007F1538">
              <w:rPr>
                <w:rFonts w:ascii="Calibri" w:hAnsi="Calibri"/>
                <w:color w:val="000000"/>
                <w:sz w:val="22"/>
                <w:szCs w:val="22"/>
                <w:lang w:val="fr-FR"/>
              </w:rPr>
              <w:t>160.130</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Profits/pertes courants, avant impôts</w:t>
            </w:r>
          </w:p>
        </w:tc>
        <w:tc>
          <w:tcPr>
            <w:tcW w:w="1384" w:type="dxa"/>
            <w:shd w:val="clear" w:color="auto" w:fill="auto"/>
            <w:vAlign w:val="bottom"/>
          </w:tcPr>
          <w:p w:rsidR="007D441C" w:rsidRPr="007F1538" w:rsidRDefault="00BC5629" w:rsidP="00AA1323">
            <w:pPr>
              <w:jc w:val="right"/>
              <w:rPr>
                <w:rFonts w:cs="Arial"/>
                <w:lang w:val="fr-FR"/>
              </w:rPr>
            </w:pPr>
            <w:r w:rsidRPr="007F1538">
              <w:rPr>
                <w:rFonts w:ascii="Calibri" w:hAnsi="Calibri"/>
                <w:color w:val="000000"/>
                <w:sz w:val="22"/>
                <w:szCs w:val="22"/>
                <w:lang w:val="fr-FR"/>
              </w:rPr>
              <w:t>-432.886</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Produits exceptionnels</w:t>
            </w:r>
          </w:p>
        </w:tc>
        <w:tc>
          <w:tcPr>
            <w:tcW w:w="1384" w:type="dxa"/>
            <w:shd w:val="clear" w:color="auto" w:fill="auto"/>
            <w:vAlign w:val="bottom"/>
          </w:tcPr>
          <w:p w:rsidR="007D441C" w:rsidRPr="007F1538" w:rsidRDefault="00BC5629" w:rsidP="00BC5629">
            <w:pPr>
              <w:jc w:val="right"/>
              <w:rPr>
                <w:rFonts w:ascii="Calibri" w:hAnsi="Calibri"/>
                <w:color w:val="000000"/>
                <w:sz w:val="22"/>
                <w:szCs w:val="22"/>
                <w:lang w:val="fr-FR"/>
              </w:rPr>
            </w:pPr>
            <w:r w:rsidRPr="007F1538">
              <w:rPr>
                <w:rFonts w:ascii="Calibri" w:hAnsi="Calibri"/>
                <w:color w:val="000000"/>
                <w:sz w:val="22"/>
                <w:szCs w:val="22"/>
                <w:lang w:val="fr-FR"/>
              </w:rPr>
              <w:t>0</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Charges exceptionnelles</w:t>
            </w:r>
          </w:p>
        </w:tc>
        <w:tc>
          <w:tcPr>
            <w:tcW w:w="1384" w:type="dxa"/>
            <w:shd w:val="clear" w:color="auto" w:fill="auto"/>
            <w:vAlign w:val="bottom"/>
          </w:tcPr>
          <w:p w:rsidR="007D441C" w:rsidRPr="007F1538" w:rsidRDefault="00BC5629" w:rsidP="00BC5629">
            <w:pPr>
              <w:jc w:val="right"/>
              <w:rPr>
                <w:rFonts w:ascii="Calibri" w:hAnsi="Calibri"/>
                <w:color w:val="000000"/>
                <w:sz w:val="22"/>
                <w:szCs w:val="22"/>
                <w:lang w:val="fr-FR"/>
              </w:rPr>
            </w:pPr>
            <w:r w:rsidRPr="007F1538">
              <w:rPr>
                <w:rFonts w:ascii="Calibri" w:hAnsi="Calibri"/>
                <w:color w:val="000000"/>
                <w:sz w:val="22"/>
                <w:szCs w:val="22"/>
                <w:lang w:val="fr-FR"/>
              </w:rPr>
              <w:t>0</w:t>
            </w:r>
          </w:p>
        </w:tc>
      </w:tr>
      <w:tr w:rsidR="007D441C" w:rsidRPr="007F1538" w:rsidTr="00AA1323">
        <w:tc>
          <w:tcPr>
            <w:tcW w:w="5340" w:type="dxa"/>
            <w:shd w:val="clear" w:color="auto" w:fill="auto"/>
          </w:tcPr>
          <w:p w:rsidR="007D441C" w:rsidRPr="007F1538" w:rsidRDefault="003511DA" w:rsidP="00690B4E">
            <w:pPr>
              <w:numPr>
                <w:ilvl w:val="0"/>
                <w:numId w:val="3"/>
              </w:numPr>
              <w:rPr>
                <w:rFonts w:cs="Arial"/>
                <w:lang w:val="fr-FR"/>
              </w:rPr>
            </w:pPr>
            <w:r w:rsidRPr="003511DA">
              <w:rPr>
                <w:rFonts w:cs="Arial"/>
                <w:lang w:val="fr-FR"/>
              </w:rPr>
              <w:t>Bénéfice/perte de l’exercice</w:t>
            </w:r>
            <w:r w:rsidR="007D441C" w:rsidRPr="007F1538">
              <w:rPr>
                <w:rFonts w:cs="Arial"/>
                <w:lang w:val="fr-FR"/>
              </w:rPr>
              <w:t xml:space="preserve"> </w:t>
            </w:r>
          </w:p>
        </w:tc>
        <w:tc>
          <w:tcPr>
            <w:tcW w:w="1384" w:type="dxa"/>
            <w:shd w:val="clear" w:color="auto" w:fill="auto"/>
            <w:vAlign w:val="bottom"/>
          </w:tcPr>
          <w:p w:rsidR="007D441C" w:rsidRPr="007F1538" w:rsidRDefault="00BC5629" w:rsidP="00BC5629">
            <w:pPr>
              <w:jc w:val="right"/>
              <w:rPr>
                <w:rFonts w:ascii="Calibri" w:hAnsi="Calibri"/>
                <w:color w:val="000000"/>
                <w:sz w:val="22"/>
                <w:szCs w:val="22"/>
                <w:lang w:val="fr-FR"/>
              </w:rPr>
            </w:pPr>
            <w:r w:rsidRPr="007F1538">
              <w:rPr>
                <w:rFonts w:ascii="Calibri" w:hAnsi="Calibri"/>
                <w:color w:val="000000"/>
                <w:sz w:val="22"/>
                <w:szCs w:val="22"/>
                <w:lang w:val="fr-FR"/>
              </w:rPr>
              <w:t>-432.886</w:t>
            </w:r>
          </w:p>
        </w:tc>
      </w:tr>
      <w:tr w:rsidR="007D441C" w:rsidRPr="007F1538" w:rsidTr="00AA1323">
        <w:tc>
          <w:tcPr>
            <w:tcW w:w="5340" w:type="dxa"/>
            <w:shd w:val="clear" w:color="auto" w:fill="auto"/>
          </w:tcPr>
          <w:p w:rsidR="007D441C" w:rsidRPr="007F1538" w:rsidRDefault="007D441C" w:rsidP="00AA1323">
            <w:pPr>
              <w:numPr>
                <w:ilvl w:val="0"/>
                <w:numId w:val="3"/>
              </w:numPr>
              <w:rPr>
                <w:rFonts w:cs="Arial"/>
                <w:lang w:val="fr-FR"/>
              </w:rPr>
            </w:pPr>
          </w:p>
        </w:tc>
        <w:tc>
          <w:tcPr>
            <w:tcW w:w="1384" w:type="dxa"/>
            <w:shd w:val="clear" w:color="auto" w:fill="auto"/>
            <w:vAlign w:val="bottom"/>
          </w:tcPr>
          <w:p w:rsidR="007D441C" w:rsidRPr="007F1538" w:rsidRDefault="007D441C" w:rsidP="00AA1323">
            <w:pPr>
              <w:jc w:val="right"/>
              <w:rPr>
                <w:rFonts w:cs="Arial"/>
                <w:lang w:val="fr-FR"/>
              </w:rPr>
            </w:pPr>
          </w:p>
        </w:tc>
      </w:tr>
    </w:tbl>
    <w:p w:rsidR="0072111B" w:rsidRPr="007F1538" w:rsidRDefault="0072111B" w:rsidP="00D024EF">
      <w:pPr>
        <w:rPr>
          <w:lang w:val="fr-FR"/>
        </w:rPr>
      </w:pPr>
      <w:bookmarkStart w:id="92" w:name="_Toc169421577"/>
      <w:bookmarkStart w:id="93" w:name="_Toc169421738"/>
    </w:p>
    <w:p w:rsidR="0072111B" w:rsidRPr="007F1538" w:rsidRDefault="003511DA" w:rsidP="00595995">
      <w:pPr>
        <w:shd w:val="clear" w:color="auto" w:fill="FFFFFF"/>
        <w:rPr>
          <w:rFonts w:cs="Arial"/>
          <w:lang w:val="fr-FR"/>
        </w:rPr>
      </w:pPr>
      <w:r w:rsidRPr="003511DA">
        <w:rPr>
          <w:rFonts w:cs="Arial"/>
          <w:lang w:val="fr-FR"/>
        </w:rPr>
        <w:t xml:space="preserve">La majeure partie de nos recettes (79%) provient des cotisations </w:t>
      </w:r>
      <w:r w:rsidR="008712DD">
        <w:rPr>
          <w:rFonts w:cs="Arial"/>
          <w:lang w:val="fr-FR"/>
        </w:rPr>
        <w:t xml:space="preserve">prévues par la </w:t>
      </w:r>
      <w:r w:rsidRPr="003511DA">
        <w:rPr>
          <w:rFonts w:cs="Arial"/>
          <w:lang w:val="fr-FR"/>
        </w:rPr>
        <w:t>CCT.</w:t>
      </w:r>
      <w:r w:rsidR="0072111B" w:rsidRPr="007F1538">
        <w:rPr>
          <w:rFonts w:cs="Arial"/>
          <w:lang w:val="fr-FR"/>
        </w:rPr>
        <w:t xml:space="preserve"> </w:t>
      </w:r>
      <w:r w:rsidRPr="003511DA">
        <w:rPr>
          <w:rFonts w:cs="Arial"/>
          <w:lang w:val="fr-FR"/>
        </w:rPr>
        <w:t>Les subsides (17%) représentent notre deuxième source de rentrées.</w:t>
      </w:r>
    </w:p>
    <w:p w:rsidR="0072111B" w:rsidRPr="007F1538" w:rsidRDefault="0072111B" w:rsidP="00AE6332">
      <w:pPr>
        <w:rPr>
          <w:rFonts w:cs="Arial"/>
          <w:highlight w:val="yellow"/>
          <w:lang w:val="fr-FR"/>
        </w:rPr>
      </w:pPr>
    </w:p>
    <w:p w:rsidR="0072111B" w:rsidRPr="007F1538" w:rsidRDefault="003511DA" w:rsidP="00AE6332">
      <w:pPr>
        <w:rPr>
          <w:rFonts w:cs="Arial"/>
          <w:lang w:val="fr-FR"/>
        </w:rPr>
      </w:pPr>
      <w:r w:rsidRPr="00AD6341">
        <w:rPr>
          <w:rFonts w:cs="Arial"/>
          <w:lang w:val="fr-FR"/>
        </w:rPr>
        <w:t>Au niveau des charges liées aux frais de formation, ce sont les dépenses liées à la format</w:t>
      </w:r>
      <w:r w:rsidR="00AD6341" w:rsidRPr="00AD6341">
        <w:rPr>
          <w:rFonts w:cs="Arial"/>
          <w:lang w:val="fr-FR"/>
        </w:rPr>
        <w:t>i</w:t>
      </w:r>
      <w:r w:rsidRPr="00AD6341">
        <w:rPr>
          <w:rFonts w:cs="Arial"/>
          <w:lang w:val="fr-FR"/>
        </w:rPr>
        <w:t xml:space="preserve">on des travailleurs qui représentent le plus gros poste (35% pour les formations interentreprises et 24% pour les formations sur mesure), suivies par les formations pour les demandeurs d’emploi (10%) et les dépenses pour le soutien des formations pour les </w:t>
      </w:r>
      <w:r w:rsidR="008712DD">
        <w:rPr>
          <w:rFonts w:cs="Arial"/>
          <w:lang w:val="fr-FR"/>
        </w:rPr>
        <w:t>élèves</w:t>
      </w:r>
      <w:r w:rsidRPr="00AD6341">
        <w:rPr>
          <w:rFonts w:cs="Arial"/>
          <w:lang w:val="fr-FR"/>
        </w:rPr>
        <w:t xml:space="preserve"> et les enseignants (10%).</w:t>
      </w:r>
    </w:p>
    <w:p w:rsidR="0072111B" w:rsidRPr="007F1538" w:rsidRDefault="0072111B" w:rsidP="00AE6332">
      <w:pPr>
        <w:rPr>
          <w:rFonts w:cs="Arial"/>
          <w:lang w:val="fr-FR"/>
        </w:rPr>
      </w:pPr>
    </w:p>
    <w:p w:rsidR="0072111B" w:rsidRPr="007F1538" w:rsidRDefault="0072111B" w:rsidP="00AE6332">
      <w:pPr>
        <w:rPr>
          <w:rFonts w:cs="Arial"/>
          <w:lang w:val="fr-FR"/>
        </w:rPr>
      </w:pPr>
    </w:p>
    <w:p w:rsidR="00A73AD2" w:rsidRPr="007F1538" w:rsidRDefault="00B06AE3" w:rsidP="003511DA">
      <w:pPr>
        <w:pStyle w:val="Heading2"/>
        <w:rPr>
          <w:lang w:val="fr-FR"/>
        </w:rPr>
      </w:pPr>
      <w:bookmarkStart w:id="94" w:name="_Toc231044723"/>
      <w:bookmarkStart w:id="95" w:name="_Toc233192586"/>
      <w:r w:rsidRPr="007F1538">
        <w:rPr>
          <w:lang w:val="fr-FR"/>
        </w:rPr>
        <w:br w:type="page"/>
      </w:r>
      <w:bookmarkStart w:id="96" w:name="_Toc267060136"/>
      <w:bookmarkStart w:id="97" w:name="_Toc269220690"/>
      <w:bookmarkEnd w:id="92"/>
      <w:bookmarkEnd w:id="93"/>
      <w:bookmarkEnd w:id="94"/>
      <w:bookmarkEnd w:id="95"/>
      <w:r w:rsidR="003511DA" w:rsidRPr="003511DA">
        <w:rPr>
          <w:lang w:val="fr-FR"/>
        </w:rPr>
        <w:lastRenderedPageBreak/>
        <w:t>L’équipe de l’IFP</w:t>
      </w:r>
      <w:bookmarkEnd w:id="96"/>
      <w:bookmarkEnd w:id="97"/>
    </w:p>
    <w:p w:rsidR="00A73AD2" w:rsidRPr="007F1538" w:rsidRDefault="003511DA">
      <w:pPr>
        <w:rPr>
          <w:rFonts w:cs="Arial"/>
          <w:lang w:val="fr-FR"/>
        </w:rPr>
      </w:pPr>
      <w:r w:rsidRPr="003511DA">
        <w:rPr>
          <w:rFonts w:cs="Arial"/>
          <w:lang w:val="fr-FR"/>
        </w:rPr>
        <w:t>Nos conseillers formation et nos gestionnaires de dossier sont quotidiennement en contact direct avec les entreprises de l'industrie alimentaire.</w:t>
      </w:r>
      <w:r w:rsidR="00A73AD2" w:rsidRPr="007F1538">
        <w:rPr>
          <w:rFonts w:cs="Arial"/>
          <w:lang w:val="fr-FR"/>
        </w:rPr>
        <w:t xml:space="preserve"> </w:t>
      </w:r>
      <w:r w:rsidRPr="003511DA">
        <w:rPr>
          <w:rFonts w:cs="Arial"/>
          <w:lang w:val="fr-FR"/>
        </w:rPr>
        <w:t xml:space="preserve">Ceux-ci font équipe avec les conseillers en recherche et développement, </w:t>
      </w:r>
      <w:r w:rsidR="00D9472F">
        <w:rPr>
          <w:rFonts w:cs="Arial"/>
          <w:lang w:val="fr-FR"/>
        </w:rPr>
        <w:t xml:space="preserve">le département </w:t>
      </w:r>
      <w:r w:rsidR="007D498A">
        <w:rPr>
          <w:rFonts w:cs="Arial"/>
          <w:lang w:val="fr-FR"/>
        </w:rPr>
        <w:t>communication</w:t>
      </w:r>
      <w:r w:rsidR="00D9472F">
        <w:rPr>
          <w:rFonts w:cs="Arial"/>
          <w:lang w:val="fr-FR"/>
        </w:rPr>
        <w:t xml:space="preserve">, </w:t>
      </w:r>
      <w:r w:rsidRPr="003511DA">
        <w:rPr>
          <w:rFonts w:cs="Arial"/>
          <w:lang w:val="fr-FR"/>
        </w:rPr>
        <w:t>le secrétariat et la comptabilité, ainsi que l’équipe de coordination pour donner corps à la politique de formation mise en œuvre dans les entreprises alimentaires.</w:t>
      </w:r>
    </w:p>
    <w:p w:rsidR="00A73AD2" w:rsidRPr="007F1538" w:rsidRDefault="00A73AD2">
      <w:pPr>
        <w:jc w:val="both"/>
        <w:rPr>
          <w:rFonts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70"/>
        <w:gridCol w:w="4069"/>
      </w:tblGrid>
      <w:tr w:rsidR="00A864B1" w:rsidRPr="007F1538" w:rsidTr="003511DA">
        <w:trPr>
          <w:jc w:val="center"/>
        </w:trPr>
        <w:tc>
          <w:tcPr>
            <w:tcW w:w="4770" w:type="dxa"/>
          </w:tcPr>
          <w:p w:rsidR="00A864B1" w:rsidRPr="007F1538" w:rsidRDefault="003511DA" w:rsidP="00690B4E">
            <w:pPr>
              <w:spacing w:before="60" w:after="60"/>
              <w:rPr>
                <w:rFonts w:cs="Arial"/>
                <w:color w:val="000000"/>
                <w:lang w:val="fr-FR"/>
              </w:rPr>
            </w:pPr>
            <w:r w:rsidRPr="003511DA">
              <w:rPr>
                <w:rFonts w:cs="Arial"/>
                <w:color w:val="000000"/>
                <w:lang w:val="fr-FR"/>
              </w:rPr>
              <w:t>Alexandra Valsami </w:t>
            </w:r>
          </w:p>
        </w:tc>
        <w:tc>
          <w:tcPr>
            <w:tcW w:w="4069" w:type="dxa"/>
          </w:tcPr>
          <w:p w:rsidR="00A864B1" w:rsidRPr="007F1538" w:rsidRDefault="003511DA" w:rsidP="00690B4E">
            <w:pPr>
              <w:spacing w:before="60" w:after="60"/>
              <w:rPr>
                <w:rFonts w:cs="Arial"/>
                <w:color w:val="000000"/>
                <w:lang w:val="fr-FR"/>
              </w:rPr>
            </w:pPr>
            <w:r w:rsidRPr="003511DA">
              <w:rPr>
                <w:rFonts w:cs="Arial"/>
                <w:color w:val="000000"/>
                <w:lang w:val="fr-FR"/>
              </w:rPr>
              <w:t>Gestionnaire de dossier</w:t>
            </w:r>
          </w:p>
        </w:tc>
      </w:tr>
      <w:tr w:rsidR="00A864B1" w:rsidRPr="007F1538" w:rsidTr="003511DA">
        <w:trPr>
          <w:jc w:val="center"/>
        </w:trPr>
        <w:tc>
          <w:tcPr>
            <w:tcW w:w="4770" w:type="dxa"/>
          </w:tcPr>
          <w:p w:rsidR="00A864B1" w:rsidRPr="007F1538" w:rsidRDefault="003511DA" w:rsidP="00690B4E">
            <w:pPr>
              <w:spacing w:before="60" w:after="60"/>
              <w:rPr>
                <w:rFonts w:cs="Arial"/>
                <w:color w:val="000000"/>
                <w:lang w:val="fr-FR"/>
              </w:rPr>
            </w:pPr>
            <w:r w:rsidRPr="003511DA">
              <w:rPr>
                <w:rFonts w:cs="Arial"/>
                <w:color w:val="000000"/>
                <w:lang w:val="fr-FR"/>
              </w:rPr>
              <w:t>Carl Foulon</w:t>
            </w:r>
          </w:p>
        </w:tc>
        <w:tc>
          <w:tcPr>
            <w:tcW w:w="4069" w:type="dxa"/>
          </w:tcPr>
          <w:p w:rsidR="00A864B1"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Daniëlle Verlaet</w:t>
            </w:r>
            <w:r w:rsidR="00F74772" w:rsidRPr="007F1538">
              <w:rPr>
                <w:rFonts w:cs="Arial"/>
                <w:color w:val="000000"/>
                <w:lang w:val="fr-FR"/>
              </w:rPr>
              <w:t xml:space="preserve"> </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Dirk Veekhoven</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Gestionnaire de dossier</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Sabine Mommaerts/Ellen Fels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Communication et promotion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Els Mertens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Recherche &amp; Développement</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Els Van Dijck</w:t>
            </w:r>
            <w:r w:rsidR="00F74772" w:rsidRPr="007F1538">
              <w:rPr>
                <w:rFonts w:cs="Arial"/>
                <w:color w:val="000000"/>
                <w:lang w:val="fr-FR"/>
              </w:rPr>
              <w:t xml:space="preserve"> </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Accueil et secrétariat</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Frédéric Baugniet</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pédagogique</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Guido Devillé</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formations boulangerie</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Henk Dejonckheere</w:t>
            </w:r>
            <w:r w:rsidR="00F74772" w:rsidRPr="007F1538">
              <w:rPr>
                <w:rFonts w:cs="Arial"/>
                <w:color w:val="000000"/>
                <w:lang w:val="fr-FR"/>
              </w:rPr>
              <w:t xml:space="preserve"> </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Directeur</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Herbert Matthys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Inge Treuttens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Gestionnaire de dossier</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Ingrid Snel</w:t>
            </w:r>
          </w:p>
        </w:tc>
        <w:tc>
          <w:tcPr>
            <w:tcW w:w="4069" w:type="dxa"/>
          </w:tcPr>
          <w:p w:rsidR="00F74772" w:rsidRPr="007F1538" w:rsidRDefault="003511DA" w:rsidP="007D498A">
            <w:pPr>
              <w:spacing w:before="60" w:after="60"/>
              <w:rPr>
                <w:rFonts w:cs="Arial"/>
                <w:color w:val="000000"/>
                <w:lang w:val="fr-FR"/>
              </w:rPr>
            </w:pPr>
            <w:r w:rsidRPr="003511DA">
              <w:rPr>
                <w:rFonts w:cs="Arial"/>
                <w:color w:val="000000"/>
                <w:lang w:val="fr-FR"/>
              </w:rPr>
              <w:t>Conseiller enseignement</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Jean-Denis Hennebert</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D7D6E" w:rsidRDefault="003511DA" w:rsidP="00690B4E">
            <w:pPr>
              <w:spacing w:before="60" w:after="60"/>
              <w:rPr>
                <w:rFonts w:cs="Arial"/>
                <w:color w:val="000000"/>
              </w:rPr>
            </w:pPr>
            <w:r w:rsidRPr="007D7D6E">
              <w:rPr>
                <w:rFonts w:cs="Arial"/>
                <w:color w:val="000000"/>
              </w:rPr>
              <w:t>Joerie Vander Have/Lieve Ruelens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Recherche &amp; Développement</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Karl Meuris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Laila Boudchiche</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Comptable</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Laurent Gall</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Coordinateur formation</w:t>
            </w:r>
            <w:r w:rsidR="007D498A">
              <w:rPr>
                <w:rFonts w:cs="Arial"/>
                <w:color w:val="000000"/>
                <w:lang w:val="fr-FR"/>
              </w:rPr>
              <w:t>s</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Michel Delveaux</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Mik Gadeyne</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Coordinateur administratif</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Nomiki Macrillo</w:t>
            </w:r>
            <w:r w:rsidR="00F74772" w:rsidRPr="007F1538">
              <w:rPr>
                <w:rFonts w:cs="Arial"/>
                <w:color w:val="000000"/>
                <w:lang w:val="fr-FR"/>
              </w:rPr>
              <w:t xml:space="preserve"> </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Gestionnaire de dossier</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Pascal Cools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Sandrine Hamouch</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Collaborateur administratif</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Sara Borremans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Gestionnaire de dossier</w:t>
            </w:r>
          </w:p>
        </w:tc>
      </w:tr>
      <w:tr w:rsidR="00F74772" w:rsidRPr="007F1538" w:rsidTr="003511DA">
        <w:trPr>
          <w:jc w:val="center"/>
        </w:trPr>
        <w:tc>
          <w:tcPr>
            <w:tcW w:w="4770" w:type="dxa"/>
            <w:tcBorders>
              <w:bottom w:val="single" w:sz="4" w:space="0" w:color="auto"/>
            </w:tcBorders>
          </w:tcPr>
          <w:p w:rsidR="00F74772" w:rsidRPr="007F1538" w:rsidRDefault="003511DA" w:rsidP="00690B4E">
            <w:pPr>
              <w:spacing w:before="60" w:after="60"/>
              <w:rPr>
                <w:rFonts w:cs="Arial"/>
                <w:color w:val="000000"/>
                <w:lang w:val="fr-FR"/>
              </w:rPr>
            </w:pPr>
            <w:r w:rsidRPr="003511DA">
              <w:rPr>
                <w:rFonts w:cs="Arial"/>
                <w:color w:val="000000"/>
                <w:lang w:val="fr-FR"/>
              </w:rPr>
              <w:t>Sofie Wydoodt</w:t>
            </w:r>
          </w:p>
        </w:tc>
        <w:tc>
          <w:tcPr>
            <w:tcW w:w="4069" w:type="dxa"/>
            <w:tcBorders>
              <w:bottom w:val="single" w:sz="4" w:space="0" w:color="auto"/>
            </w:tcBorders>
          </w:tcPr>
          <w:p w:rsidR="00F74772" w:rsidRPr="007F1538" w:rsidRDefault="003511DA" w:rsidP="00690B4E">
            <w:pPr>
              <w:spacing w:before="60" w:after="60"/>
              <w:rPr>
                <w:rFonts w:cs="Arial"/>
                <w:color w:val="000000"/>
                <w:lang w:val="fr-FR"/>
              </w:rPr>
            </w:pPr>
            <w:r w:rsidRPr="003511DA">
              <w:rPr>
                <w:rFonts w:cs="Arial"/>
                <w:color w:val="000000"/>
                <w:lang w:val="fr-FR"/>
              </w:rPr>
              <w:t>Gestionnaire</w:t>
            </w:r>
            <w:r w:rsidR="007D498A">
              <w:rPr>
                <w:rFonts w:cs="Arial"/>
                <w:color w:val="000000"/>
                <w:lang w:val="fr-FR"/>
              </w:rPr>
              <w:t xml:space="preserve"> base</w:t>
            </w:r>
            <w:r w:rsidRPr="003511DA">
              <w:rPr>
                <w:rFonts w:cs="Arial"/>
                <w:color w:val="000000"/>
                <w:lang w:val="fr-FR"/>
              </w:rPr>
              <w:t xml:space="preserve"> de données</w:t>
            </w:r>
          </w:p>
        </w:tc>
      </w:tr>
      <w:tr w:rsidR="00F74772" w:rsidRPr="007F1538" w:rsidTr="003511DA">
        <w:trPr>
          <w:jc w:val="center"/>
        </w:trPr>
        <w:tc>
          <w:tcPr>
            <w:tcW w:w="4770" w:type="dxa"/>
            <w:shd w:val="clear" w:color="auto" w:fill="auto"/>
          </w:tcPr>
          <w:p w:rsidR="00F74772" w:rsidRPr="007F1538" w:rsidRDefault="003511DA" w:rsidP="00690B4E">
            <w:pPr>
              <w:spacing w:before="60" w:after="60"/>
              <w:rPr>
                <w:rFonts w:cs="Arial"/>
                <w:color w:val="000000"/>
                <w:lang w:val="fr-FR"/>
              </w:rPr>
            </w:pPr>
            <w:r w:rsidRPr="003511DA">
              <w:rPr>
                <w:rFonts w:cs="Arial"/>
                <w:color w:val="000000"/>
                <w:lang w:val="fr-FR"/>
              </w:rPr>
              <w:t>Tine De Cock</w:t>
            </w:r>
          </w:p>
        </w:tc>
        <w:tc>
          <w:tcPr>
            <w:tcW w:w="4069" w:type="dxa"/>
            <w:shd w:val="clear" w:color="auto" w:fill="auto"/>
          </w:tcPr>
          <w:p w:rsidR="00F74772" w:rsidRPr="007F1538" w:rsidRDefault="003511DA" w:rsidP="00690B4E">
            <w:pPr>
              <w:spacing w:before="60" w:after="60"/>
              <w:rPr>
                <w:rFonts w:cs="Arial"/>
                <w:color w:val="000000"/>
                <w:lang w:val="fr-FR"/>
              </w:rPr>
            </w:pPr>
            <w:r w:rsidRPr="003511DA">
              <w:rPr>
                <w:rFonts w:cs="Arial"/>
                <w:color w:val="000000"/>
                <w:lang w:val="fr-FR"/>
              </w:rPr>
              <w:t>Accueil et administration</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Tom De Cock</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Conseiller Formation</w:t>
            </w:r>
            <w:r w:rsidR="00F74772" w:rsidRPr="007F1538">
              <w:rPr>
                <w:rFonts w:cs="Arial"/>
                <w:color w:val="000000"/>
                <w:lang w:val="fr-FR"/>
              </w:rPr>
              <w:t xml:space="preserve"> </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Véronique D’hert</w:t>
            </w:r>
            <w:r w:rsidR="00F74772" w:rsidRPr="007F1538">
              <w:rPr>
                <w:rFonts w:cs="Arial"/>
                <w:color w:val="000000"/>
                <w:lang w:val="fr-FR"/>
              </w:rPr>
              <w:t xml:space="preserve"> </w:t>
            </w:r>
          </w:p>
        </w:tc>
        <w:tc>
          <w:tcPr>
            <w:tcW w:w="4069" w:type="dxa"/>
          </w:tcPr>
          <w:p w:rsidR="00F74772" w:rsidRPr="007F1538" w:rsidRDefault="003511DA" w:rsidP="007D498A">
            <w:pPr>
              <w:spacing w:before="60" w:after="60"/>
              <w:rPr>
                <w:rFonts w:cs="Arial"/>
                <w:color w:val="000000"/>
                <w:lang w:val="fr-FR"/>
              </w:rPr>
            </w:pPr>
            <w:r w:rsidRPr="003511DA">
              <w:rPr>
                <w:rFonts w:cs="Arial"/>
                <w:color w:val="000000"/>
                <w:lang w:val="fr-FR"/>
              </w:rPr>
              <w:t xml:space="preserve">Conseiller </w:t>
            </w:r>
            <w:r w:rsidR="007D498A">
              <w:rPr>
                <w:rFonts w:cs="Arial"/>
                <w:color w:val="000000"/>
                <w:lang w:val="fr-FR"/>
              </w:rPr>
              <w:t>F</w:t>
            </w:r>
            <w:r w:rsidR="007D498A" w:rsidRPr="003511DA">
              <w:rPr>
                <w:rFonts w:cs="Arial"/>
                <w:color w:val="000000"/>
                <w:lang w:val="fr-FR"/>
              </w:rPr>
              <w:t xml:space="preserve">ormation &amp; </w:t>
            </w:r>
            <w:r w:rsidRPr="003511DA">
              <w:rPr>
                <w:rFonts w:cs="Arial"/>
                <w:color w:val="000000"/>
                <w:lang w:val="fr-FR"/>
              </w:rPr>
              <w:t xml:space="preserve">enseignement </w:t>
            </w:r>
          </w:p>
        </w:tc>
      </w:tr>
      <w:tr w:rsidR="00F74772" w:rsidRPr="007F1538" w:rsidTr="003511DA">
        <w:trPr>
          <w:jc w:val="center"/>
        </w:trPr>
        <w:tc>
          <w:tcPr>
            <w:tcW w:w="4770" w:type="dxa"/>
          </w:tcPr>
          <w:p w:rsidR="00F74772" w:rsidRPr="007F1538" w:rsidRDefault="003511DA" w:rsidP="00690B4E">
            <w:pPr>
              <w:spacing w:before="60" w:after="60"/>
              <w:rPr>
                <w:rFonts w:cs="Arial"/>
                <w:color w:val="000000"/>
                <w:lang w:val="fr-FR"/>
              </w:rPr>
            </w:pPr>
            <w:r w:rsidRPr="003511DA">
              <w:rPr>
                <w:rFonts w:cs="Arial"/>
                <w:color w:val="000000"/>
                <w:lang w:val="fr-FR"/>
              </w:rPr>
              <w:t>Véronique Vellemans</w:t>
            </w:r>
          </w:p>
        </w:tc>
        <w:tc>
          <w:tcPr>
            <w:tcW w:w="4069" w:type="dxa"/>
          </w:tcPr>
          <w:p w:rsidR="00F74772" w:rsidRPr="007F1538" w:rsidRDefault="003511DA" w:rsidP="00690B4E">
            <w:pPr>
              <w:spacing w:before="60" w:after="60"/>
              <w:rPr>
                <w:rFonts w:cs="Arial"/>
                <w:color w:val="000000"/>
                <w:lang w:val="fr-FR"/>
              </w:rPr>
            </w:pPr>
            <w:r w:rsidRPr="003511DA">
              <w:rPr>
                <w:rFonts w:cs="Arial"/>
                <w:color w:val="000000"/>
                <w:lang w:val="fr-FR"/>
              </w:rPr>
              <w:t>Gestionnaire de dossier</w:t>
            </w:r>
          </w:p>
        </w:tc>
      </w:tr>
    </w:tbl>
    <w:p w:rsidR="00A03468" w:rsidRPr="007F1538" w:rsidRDefault="00A03468">
      <w:pPr>
        <w:jc w:val="both"/>
        <w:rPr>
          <w:rFonts w:cs="Arial"/>
          <w:lang w:val="fr-FR"/>
        </w:rPr>
      </w:pPr>
    </w:p>
    <w:p w:rsidR="00962056" w:rsidRPr="007F1538" w:rsidRDefault="00962056">
      <w:pPr>
        <w:jc w:val="both"/>
        <w:rPr>
          <w:rFonts w:cs="Arial"/>
          <w:lang w:val="fr-FR"/>
        </w:rPr>
      </w:pPr>
    </w:p>
    <w:p w:rsidR="00962056" w:rsidRPr="007F1538" w:rsidRDefault="00962056">
      <w:pPr>
        <w:jc w:val="both"/>
        <w:rPr>
          <w:rFonts w:cs="Arial"/>
          <w:lang w:val="fr-FR"/>
        </w:rPr>
      </w:pPr>
    </w:p>
    <w:p w:rsidR="00A73AD2" w:rsidRPr="007F1538" w:rsidRDefault="003511DA">
      <w:pPr>
        <w:jc w:val="both"/>
        <w:rPr>
          <w:rFonts w:cs="Arial"/>
          <w:lang w:val="fr-FR"/>
        </w:rPr>
      </w:pPr>
      <w:r w:rsidRPr="003511DA">
        <w:rPr>
          <w:rFonts w:cs="Arial"/>
          <w:lang w:val="fr-FR"/>
        </w:rPr>
        <w:lastRenderedPageBreak/>
        <w:t>L’IFP est géré par les partenaires sociaux de l’industrie alimentaire.</w:t>
      </w:r>
      <w:r w:rsidR="00A73AD2" w:rsidRPr="007F1538">
        <w:rPr>
          <w:rFonts w:cs="Arial"/>
          <w:lang w:val="fr-FR"/>
        </w:rPr>
        <w:t xml:space="preserve"> </w:t>
      </w:r>
      <w:r w:rsidRPr="003511DA">
        <w:rPr>
          <w:rFonts w:cs="Arial"/>
          <w:lang w:val="fr-FR"/>
        </w:rPr>
        <w:t>La composition des organes de gestion en 2009 était la suivante :</w:t>
      </w:r>
    </w:p>
    <w:p w:rsidR="00C65F0C" w:rsidRPr="007F1538" w:rsidRDefault="00C65F0C">
      <w:pPr>
        <w:jc w:val="both"/>
        <w:rPr>
          <w:rFonts w:cs="Arial"/>
          <w:color w:val="333333"/>
          <w:lang w:val="fr-FR"/>
        </w:rPr>
      </w:pPr>
    </w:p>
    <w:tbl>
      <w:tblPr>
        <w:tblpPr w:leftFromText="180" w:rightFromText="180" w:vertAnchor="text" w:horzAnchor="margin" w:tblpY="32"/>
        <w:tblW w:w="5000" w:type="pct"/>
        <w:tblCellSpacing w:w="0" w:type="dxa"/>
        <w:tblBorders>
          <w:top w:val="outset" w:sz="6" w:space="0" w:color="669933"/>
          <w:left w:val="outset" w:sz="6" w:space="0" w:color="669933"/>
          <w:bottom w:val="outset" w:sz="6" w:space="0" w:color="669933"/>
          <w:right w:val="outset" w:sz="6" w:space="0" w:color="669933"/>
        </w:tblBorders>
        <w:tblCellMar>
          <w:top w:w="30" w:type="dxa"/>
          <w:left w:w="30" w:type="dxa"/>
          <w:bottom w:w="30" w:type="dxa"/>
          <w:right w:w="30" w:type="dxa"/>
        </w:tblCellMar>
        <w:tblLook w:val="0000"/>
      </w:tblPr>
      <w:tblGrid>
        <w:gridCol w:w="2292"/>
        <w:gridCol w:w="2433"/>
        <w:gridCol w:w="2145"/>
        <w:gridCol w:w="2290"/>
      </w:tblGrid>
      <w:tr w:rsidR="00A73AD2" w:rsidRPr="007F1538" w:rsidTr="003511DA">
        <w:trPr>
          <w:tblCellSpacing w:w="0" w:type="dxa"/>
        </w:trPr>
        <w:tc>
          <w:tcPr>
            <w:tcW w:w="5000" w:type="pct"/>
            <w:gridSpan w:val="4"/>
            <w:tcBorders>
              <w:top w:val="outset" w:sz="6" w:space="0" w:color="669933"/>
              <w:left w:val="outset" w:sz="6" w:space="0" w:color="669933"/>
              <w:bottom w:val="outset" w:sz="6" w:space="0" w:color="669933"/>
              <w:right w:val="outset" w:sz="6" w:space="0" w:color="669933"/>
            </w:tcBorders>
            <w:vAlign w:val="center"/>
          </w:tcPr>
          <w:p w:rsidR="00A73AD2" w:rsidRPr="007F1538" w:rsidRDefault="003511DA" w:rsidP="00690B4E">
            <w:pPr>
              <w:pStyle w:val="NormalWeb"/>
              <w:rPr>
                <w:rFonts w:ascii="Arial" w:hAnsi="Arial" w:cs="Arial" w:hint="default"/>
                <w:sz w:val="20"/>
                <w:szCs w:val="20"/>
                <w:lang w:val="fr-FR"/>
              </w:rPr>
            </w:pPr>
            <w:r w:rsidRPr="003511DA">
              <w:rPr>
                <w:rFonts w:ascii="Arial" w:hAnsi="Arial" w:cs="Arial" w:hint="default"/>
                <w:b/>
                <w:bCs/>
                <w:sz w:val="20"/>
                <w:szCs w:val="20"/>
                <w:lang w:val="fr-FR"/>
              </w:rPr>
              <w:t>Conseil d'administration 2009</w:t>
            </w:r>
            <w:r w:rsidR="002E25A2" w:rsidRPr="007F1538">
              <w:rPr>
                <w:rFonts w:ascii="Arial" w:hAnsi="Arial" w:cs="Arial" w:hint="default"/>
                <w:b/>
                <w:bCs/>
                <w:sz w:val="20"/>
                <w:szCs w:val="20"/>
                <w:lang w:val="fr-FR"/>
              </w:rPr>
              <w:t xml:space="preserve"> </w:t>
            </w:r>
          </w:p>
        </w:tc>
      </w:tr>
      <w:tr w:rsidR="00A73AD2" w:rsidRPr="007F1538" w:rsidTr="003511DA">
        <w:trPr>
          <w:tblCellSpacing w:w="0" w:type="dxa"/>
        </w:trPr>
        <w:tc>
          <w:tcPr>
            <w:tcW w:w="2579" w:type="pct"/>
            <w:gridSpan w:val="2"/>
            <w:tcBorders>
              <w:top w:val="outset" w:sz="6" w:space="0" w:color="669933"/>
              <w:left w:val="outset" w:sz="6" w:space="0" w:color="669933"/>
              <w:bottom w:val="outset" w:sz="6" w:space="0" w:color="669933"/>
              <w:right w:val="outset" w:sz="6" w:space="0" w:color="669933"/>
            </w:tcBorders>
            <w:vAlign w:val="center"/>
          </w:tcPr>
          <w:p w:rsidR="00A73AD2" w:rsidRPr="007F1538" w:rsidRDefault="003511DA" w:rsidP="00690B4E">
            <w:pPr>
              <w:spacing w:line="195" w:lineRule="atLeast"/>
              <w:jc w:val="center"/>
              <w:rPr>
                <w:rFonts w:eastAsia="Arial Unicode MS" w:cs="Arial"/>
                <w:lang w:val="fr-FR"/>
              </w:rPr>
            </w:pPr>
            <w:r w:rsidRPr="003511DA">
              <w:rPr>
                <w:rFonts w:cs="Arial"/>
                <w:lang w:val="fr-FR"/>
              </w:rPr>
              <w:t>Ouvriers IFP</w:t>
            </w:r>
          </w:p>
        </w:tc>
        <w:tc>
          <w:tcPr>
            <w:tcW w:w="2421" w:type="pct"/>
            <w:gridSpan w:val="2"/>
            <w:tcBorders>
              <w:top w:val="outset" w:sz="6" w:space="0" w:color="669933"/>
              <w:left w:val="outset" w:sz="6" w:space="0" w:color="669933"/>
              <w:bottom w:val="outset" w:sz="6" w:space="0" w:color="669933"/>
              <w:right w:val="outset" w:sz="6" w:space="0" w:color="669933"/>
            </w:tcBorders>
            <w:vAlign w:val="center"/>
          </w:tcPr>
          <w:p w:rsidR="00A73AD2" w:rsidRPr="007F1538" w:rsidRDefault="003511DA" w:rsidP="00690B4E">
            <w:pPr>
              <w:spacing w:line="195" w:lineRule="atLeast"/>
              <w:jc w:val="center"/>
              <w:rPr>
                <w:rFonts w:eastAsia="Arial Unicode MS" w:cs="Arial"/>
                <w:lang w:val="fr-FR"/>
              </w:rPr>
            </w:pPr>
            <w:r w:rsidRPr="003511DA">
              <w:rPr>
                <w:rFonts w:cs="Arial"/>
                <w:lang w:val="fr-FR"/>
              </w:rPr>
              <w:t>Employés IFP</w:t>
            </w:r>
          </w:p>
        </w:tc>
      </w:tr>
      <w:tr w:rsidR="00A73AD2" w:rsidRPr="007F1538" w:rsidTr="003511DA">
        <w:trPr>
          <w:tblCellSpacing w:w="0" w:type="dxa"/>
        </w:trPr>
        <w:tc>
          <w:tcPr>
            <w:tcW w:w="1251"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employeurs :</w:t>
            </w:r>
          </w:p>
        </w:tc>
        <w:tc>
          <w:tcPr>
            <w:tcW w:w="1328"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travailleurs :</w:t>
            </w:r>
          </w:p>
        </w:tc>
        <w:tc>
          <w:tcPr>
            <w:tcW w:w="1171"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employeurs :</w:t>
            </w:r>
          </w:p>
        </w:tc>
        <w:tc>
          <w:tcPr>
            <w:tcW w:w="1250"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travailleurs :</w:t>
            </w:r>
          </w:p>
        </w:tc>
      </w:tr>
      <w:tr w:rsidR="00B308EA" w:rsidRPr="007F1538" w:rsidTr="003511DA">
        <w:trPr>
          <w:tblCellSpacing w:w="0" w:type="dxa"/>
        </w:trPr>
        <w:tc>
          <w:tcPr>
            <w:tcW w:w="1251" w:type="pct"/>
            <w:tcBorders>
              <w:top w:val="outset" w:sz="6" w:space="0" w:color="669933"/>
              <w:left w:val="outset" w:sz="6" w:space="0" w:color="669933"/>
              <w:bottom w:val="outset" w:sz="6" w:space="0" w:color="669933"/>
              <w:right w:val="outset" w:sz="6" w:space="0" w:color="669933"/>
            </w:tcBorders>
          </w:tcPr>
          <w:p w:rsidR="00B308EA" w:rsidRPr="007F1538" w:rsidRDefault="00B308EA" w:rsidP="003511DA">
            <w:pPr>
              <w:autoSpaceDE w:val="0"/>
              <w:autoSpaceDN w:val="0"/>
              <w:adjustRightInd w:val="0"/>
              <w:spacing w:before="240"/>
              <w:rPr>
                <w:rFonts w:cs="Arial"/>
                <w:color w:val="000000"/>
                <w:lang w:val="fr-FR"/>
              </w:rPr>
            </w:pPr>
            <w:r w:rsidRPr="007F1538">
              <w:rPr>
                <w:rFonts w:cs="Arial"/>
                <w:color w:val="000000"/>
                <w:lang w:val="fr-FR"/>
              </w:rPr>
              <w:t>Manou DOUTREPONT</w:t>
            </w:r>
          </w:p>
        </w:tc>
        <w:tc>
          <w:tcPr>
            <w:tcW w:w="1328" w:type="pct"/>
            <w:tcBorders>
              <w:top w:val="outset" w:sz="6" w:space="0" w:color="669933"/>
              <w:left w:val="outset" w:sz="6" w:space="0" w:color="669933"/>
              <w:bottom w:val="outset" w:sz="6" w:space="0" w:color="669933"/>
              <w:right w:val="outset" w:sz="6" w:space="0" w:color="669933"/>
            </w:tcBorders>
          </w:tcPr>
          <w:p w:rsidR="000A06B7" w:rsidRPr="007F1538" w:rsidRDefault="000A06B7" w:rsidP="003511DA">
            <w:pPr>
              <w:autoSpaceDE w:val="0"/>
              <w:autoSpaceDN w:val="0"/>
              <w:adjustRightInd w:val="0"/>
              <w:rPr>
                <w:rFonts w:cs="Arial"/>
                <w:color w:val="000000"/>
                <w:lang w:val="fr-FR"/>
              </w:rPr>
            </w:pPr>
          </w:p>
          <w:p w:rsidR="00B308EA" w:rsidRPr="007F1538" w:rsidRDefault="005238A0" w:rsidP="003511DA">
            <w:pPr>
              <w:autoSpaceDE w:val="0"/>
              <w:autoSpaceDN w:val="0"/>
              <w:adjustRightInd w:val="0"/>
              <w:rPr>
                <w:rFonts w:cs="Arial"/>
                <w:color w:val="000000"/>
                <w:lang w:val="fr-FR"/>
              </w:rPr>
            </w:pPr>
            <w:r w:rsidRPr="007F1538">
              <w:rPr>
                <w:rFonts w:cs="Arial"/>
                <w:color w:val="000000"/>
                <w:lang w:val="fr-FR"/>
              </w:rPr>
              <w:t>Tangui CORNU</w:t>
            </w:r>
          </w:p>
        </w:tc>
        <w:tc>
          <w:tcPr>
            <w:tcW w:w="1171"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D024EF" w:rsidP="003511DA">
            <w:pPr>
              <w:rPr>
                <w:rFonts w:eastAsia="Arial Unicode MS" w:cs="Arial"/>
                <w:lang w:val="fr-FR"/>
              </w:rPr>
            </w:pPr>
            <w:r w:rsidRPr="007F1538">
              <w:rPr>
                <w:rFonts w:eastAsia="Arial Unicode MS" w:cs="Arial"/>
                <w:lang w:val="fr-FR"/>
              </w:rPr>
              <w:t>Olivier GHENNE</w:t>
            </w:r>
          </w:p>
        </w:tc>
        <w:tc>
          <w:tcPr>
            <w:tcW w:w="1250"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eastAsia="Arial Unicode MS" w:cs="Arial"/>
                <w:lang w:val="fr-FR"/>
              </w:rPr>
              <w:t>Bruno BAUDSON</w:t>
            </w:r>
          </w:p>
        </w:tc>
      </w:tr>
      <w:tr w:rsidR="00B308EA" w:rsidRPr="007F1538" w:rsidTr="003511DA">
        <w:trPr>
          <w:tblCellSpacing w:w="0" w:type="dxa"/>
        </w:trPr>
        <w:tc>
          <w:tcPr>
            <w:tcW w:w="1251" w:type="pct"/>
            <w:tcBorders>
              <w:top w:val="outset" w:sz="6" w:space="0" w:color="669933"/>
              <w:left w:val="outset" w:sz="6" w:space="0" w:color="669933"/>
              <w:bottom w:val="outset" w:sz="6" w:space="0" w:color="669933"/>
              <w:right w:val="outset" w:sz="6" w:space="0" w:color="669933"/>
            </w:tcBorders>
          </w:tcPr>
          <w:p w:rsidR="00B308EA" w:rsidRPr="007F1538" w:rsidRDefault="005238A0" w:rsidP="003511DA">
            <w:pPr>
              <w:autoSpaceDE w:val="0"/>
              <w:autoSpaceDN w:val="0"/>
              <w:adjustRightInd w:val="0"/>
              <w:rPr>
                <w:rFonts w:cs="Arial"/>
                <w:color w:val="000000"/>
                <w:lang w:val="fr-FR"/>
              </w:rPr>
            </w:pPr>
            <w:r w:rsidRPr="007F1538">
              <w:rPr>
                <w:rFonts w:cs="Arial"/>
                <w:color w:val="000000"/>
                <w:lang w:val="fr-FR"/>
              </w:rPr>
              <w:t>Christophe DESLOOVERE</w:t>
            </w:r>
          </w:p>
        </w:tc>
        <w:tc>
          <w:tcPr>
            <w:tcW w:w="1328" w:type="pct"/>
            <w:tcBorders>
              <w:top w:val="outset" w:sz="6" w:space="0" w:color="669933"/>
              <w:left w:val="outset" w:sz="6" w:space="0" w:color="669933"/>
              <w:bottom w:val="outset" w:sz="6" w:space="0" w:color="669933"/>
              <w:right w:val="outset" w:sz="6" w:space="0" w:color="669933"/>
            </w:tcBorders>
          </w:tcPr>
          <w:p w:rsidR="000A06B7" w:rsidRPr="007F1538" w:rsidRDefault="000A06B7" w:rsidP="003511DA">
            <w:pPr>
              <w:autoSpaceDE w:val="0"/>
              <w:autoSpaceDN w:val="0"/>
              <w:adjustRightInd w:val="0"/>
              <w:rPr>
                <w:rFonts w:cs="Arial"/>
                <w:color w:val="000000"/>
                <w:lang w:val="fr-FR"/>
              </w:rPr>
            </w:pPr>
          </w:p>
          <w:p w:rsidR="00B308EA" w:rsidRPr="007F1538" w:rsidRDefault="00B308EA" w:rsidP="003511DA">
            <w:pPr>
              <w:autoSpaceDE w:val="0"/>
              <w:autoSpaceDN w:val="0"/>
              <w:adjustRightInd w:val="0"/>
              <w:rPr>
                <w:rFonts w:cs="Arial"/>
                <w:color w:val="000000"/>
                <w:lang w:val="fr-FR"/>
              </w:rPr>
            </w:pPr>
            <w:r w:rsidRPr="007F1538">
              <w:rPr>
                <w:rFonts w:cs="Arial"/>
                <w:color w:val="000000"/>
                <w:lang w:val="fr-FR"/>
              </w:rPr>
              <w:t>Louis DE PRINS</w:t>
            </w:r>
          </w:p>
        </w:tc>
        <w:tc>
          <w:tcPr>
            <w:tcW w:w="1171"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eastAsia="Arial Unicode MS" w:cs="Arial"/>
                <w:lang w:val="fr-FR"/>
              </w:rPr>
              <w:t>Claire BOSCH</w:t>
            </w:r>
          </w:p>
        </w:tc>
        <w:tc>
          <w:tcPr>
            <w:tcW w:w="1250"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5238A0" w:rsidP="003511DA">
            <w:pPr>
              <w:rPr>
                <w:rFonts w:eastAsia="Arial Unicode MS" w:cs="Arial"/>
                <w:lang w:val="fr-FR"/>
              </w:rPr>
            </w:pPr>
            <w:r w:rsidRPr="007F1538">
              <w:rPr>
                <w:rFonts w:eastAsia="Arial Unicode MS" w:cs="Arial"/>
                <w:lang w:val="fr-FR"/>
              </w:rPr>
              <w:t>Koen DEWINTER</w:t>
            </w:r>
          </w:p>
        </w:tc>
      </w:tr>
      <w:tr w:rsidR="00B308EA" w:rsidRPr="007F1538" w:rsidTr="003511DA">
        <w:trPr>
          <w:tblCellSpacing w:w="0" w:type="dxa"/>
        </w:trPr>
        <w:tc>
          <w:tcPr>
            <w:tcW w:w="1251" w:type="pct"/>
            <w:tcBorders>
              <w:top w:val="outset" w:sz="6" w:space="0" w:color="669933"/>
              <w:left w:val="outset" w:sz="6" w:space="0" w:color="669933"/>
              <w:bottom w:val="outset" w:sz="6" w:space="0" w:color="669933"/>
              <w:right w:val="outset" w:sz="6" w:space="0" w:color="669933"/>
            </w:tcBorders>
          </w:tcPr>
          <w:p w:rsidR="000A06B7" w:rsidRPr="007F1538" w:rsidRDefault="000A06B7" w:rsidP="003511DA">
            <w:pPr>
              <w:autoSpaceDE w:val="0"/>
              <w:autoSpaceDN w:val="0"/>
              <w:adjustRightInd w:val="0"/>
              <w:rPr>
                <w:rFonts w:cs="Arial"/>
                <w:color w:val="000000"/>
                <w:lang w:val="fr-FR"/>
              </w:rPr>
            </w:pPr>
          </w:p>
          <w:p w:rsidR="00B308EA" w:rsidRPr="007F1538" w:rsidRDefault="00B308EA" w:rsidP="003511DA">
            <w:pPr>
              <w:autoSpaceDE w:val="0"/>
              <w:autoSpaceDN w:val="0"/>
              <w:adjustRightInd w:val="0"/>
              <w:rPr>
                <w:rFonts w:cs="Arial"/>
                <w:color w:val="000000"/>
                <w:lang w:val="fr-FR"/>
              </w:rPr>
            </w:pPr>
            <w:r w:rsidRPr="007F1538">
              <w:rPr>
                <w:rFonts w:cs="Arial"/>
                <w:color w:val="000000"/>
                <w:lang w:val="fr-FR"/>
              </w:rPr>
              <w:t>Bruno KUYLEN</w:t>
            </w:r>
          </w:p>
        </w:tc>
        <w:tc>
          <w:tcPr>
            <w:tcW w:w="1328" w:type="pct"/>
            <w:tcBorders>
              <w:top w:val="outset" w:sz="6" w:space="0" w:color="669933"/>
              <w:left w:val="outset" w:sz="6" w:space="0" w:color="669933"/>
              <w:bottom w:val="outset" w:sz="6" w:space="0" w:color="669933"/>
              <w:right w:val="outset" w:sz="6" w:space="0" w:color="669933"/>
            </w:tcBorders>
          </w:tcPr>
          <w:p w:rsidR="000A06B7" w:rsidRPr="007F1538" w:rsidRDefault="000A06B7" w:rsidP="003511DA">
            <w:pPr>
              <w:autoSpaceDE w:val="0"/>
              <w:autoSpaceDN w:val="0"/>
              <w:adjustRightInd w:val="0"/>
              <w:rPr>
                <w:rFonts w:cs="Arial"/>
                <w:lang w:val="fr-FR"/>
              </w:rPr>
            </w:pPr>
          </w:p>
          <w:p w:rsidR="00B308EA" w:rsidRPr="007F1538" w:rsidRDefault="00B308EA" w:rsidP="003511DA">
            <w:pPr>
              <w:autoSpaceDE w:val="0"/>
              <w:autoSpaceDN w:val="0"/>
              <w:adjustRightInd w:val="0"/>
              <w:rPr>
                <w:rFonts w:cs="Arial"/>
                <w:lang w:val="fr-FR"/>
              </w:rPr>
            </w:pPr>
            <w:r w:rsidRPr="007F1538">
              <w:rPr>
                <w:rFonts w:cs="Arial"/>
                <w:lang w:val="fr-FR"/>
              </w:rPr>
              <w:t>Alain DETEMMERMAN</w:t>
            </w:r>
          </w:p>
        </w:tc>
        <w:tc>
          <w:tcPr>
            <w:tcW w:w="1171"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cs="Arial"/>
                <w:lang w:val="fr-FR"/>
              </w:rPr>
              <w:t>Manou DOUTREPONT</w:t>
            </w:r>
          </w:p>
        </w:tc>
        <w:tc>
          <w:tcPr>
            <w:tcW w:w="1250"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cs="Arial"/>
                <w:lang w:val="fr-FR"/>
              </w:rPr>
              <w:t>Piet FOULON</w:t>
            </w:r>
          </w:p>
        </w:tc>
      </w:tr>
      <w:tr w:rsidR="00B308EA" w:rsidRPr="007F1538" w:rsidTr="003511DA">
        <w:trPr>
          <w:tblCellSpacing w:w="0" w:type="dxa"/>
        </w:trPr>
        <w:tc>
          <w:tcPr>
            <w:tcW w:w="1251" w:type="pct"/>
            <w:tcBorders>
              <w:top w:val="outset" w:sz="6" w:space="0" w:color="669933"/>
              <w:left w:val="outset" w:sz="6" w:space="0" w:color="669933"/>
              <w:bottom w:val="outset" w:sz="6" w:space="0" w:color="669933"/>
              <w:right w:val="outset" w:sz="6" w:space="0" w:color="669933"/>
            </w:tcBorders>
          </w:tcPr>
          <w:p w:rsidR="00B308EA" w:rsidRPr="007F1538" w:rsidRDefault="00B308EA" w:rsidP="003511DA">
            <w:pPr>
              <w:autoSpaceDE w:val="0"/>
              <w:autoSpaceDN w:val="0"/>
              <w:adjustRightInd w:val="0"/>
              <w:rPr>
                <w:rFonts w:cs="Arial"/>
                <w:color w:val="000000"/>
                <w:lang w:val="fr-FR"/>
              </w:rPr>
            </w:pPr>
            <w:r w:rsidRPr="007F1538">
              <w:rPr>
                <w:rFonts w:cs="Arial"/>
                <w:color w:val="000000"/>
                <w:lang w:val="fr-FR"/>
              </w:rPr>
              <w:t>Regine VAN ACKERE</w:t>
            </w:r>
          </w:p>
        </w:tc>
        <w:tc>
          <w:tcPr>
            <w:tcW w:w="1328" w:type="pct"/>
            <w:tcBorders>
              <w:top w:val="outset" w:sz="6" w:space="0" w:color="669933"/>
              <w:left w:val="outset" w:sz="6" w:space="0" w:color="669933"/>
              <w:bottom w:val="outset" w:sz="6" w:space="0" w:color="669933"/>
              <w:right w:val="outset" w:sz="6" w:space="0" w:color="669933"/>
            </w:tcBorders>
          </w:tcPr>
          <w:p w:rsidR="00B308EA" w:rsidRPr="007F1538" w:rsidRDefault="005238A0" w:rsidP="003511DA">
            <w:pPr>
              <w:autoSpaceDE w:val="0"/>
              <w:autoSpaceDN w:val="0"/>
              <w:adjustRightInd w:val="0"/>
              <w:rPr>
                <w:rFonts w:cs="Arial"/>
                <w:color w:val="000000"/>
                <w:lang w:val="fr-FR"/>
              </w:rPr>
            </w:pPr>
            <w:r w:rsidRPr="007F1538">
              <w:rPr>
                <w:rFonts w:cs="Arial"/>
                <w:color w:val="000000"/>
                <w:lang w:val="fr-FR"/>
              </w:rPr>
              <w:t>Koen DEWINTER</w:t>
            </w:r>
          </w:p>
        </w:tc>
        <w:tc>
          <w:tcPr>
            <w:tcW w:w="1171"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D024EF" w:rsidP="003511DA">
            <w:pPr>
              <w:rPr>
                <w:rFonts w:eastAsia="Arial Unicode MS" w:cs="Arial"/>
                <w:lang w:val="fr-FR"/>
              </w:rPr>
            </w:pPr>
            <w:r w:rsidRPr="007F1538">
              <w:rPr>
                <w:rFonts w:cs="Arial"/>
                <w:lang w:val="fr-FR"/>
              </w:rPr>
              <w:t>Anne REUL</w:t>
            </w:r>
          </w:p>
        </w:tc>
        <w:tc>
          <w:tcPr>
            <w:tcW w:w="1250"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cs="Arial"/>
                <w:lang w:val="fr-FR"/>
              </w:rPr>
              <w:t>Ilse GALLIAERT</w:t>
            </w:r>
          </w:p>
        </w:tc>
      </w:tr>
      <w:tr w:rsidR="00B308EA" w:rsidRPr="007F1538" w:rsidTr="003511DA">
        <w:trPr>
          <w:tblCellSpacing w:w="0" w:type="dxa"/>
        </w:trPr>
        <w:tc>
          <w:tcPr>
            <w:tcW w:w="1251" w:type="pct"/>
            <w:tcBorders>
              <w:top w:val="outset" w:sz="6" w:space="0" w:color="669933"/>
              <w:left w:val="outset" w:sz="6" w:space="0" w:color="669933"/>
              <w:bottom w:val="outset" w:sz="6" w:space="0" w:color="669933"/>
              <w:right w:val="outset" w:sz="6" w:space="0" w:color="669933"/>
            </w:tcBorders>
          </w:tcPr>
          <w:p w:rsidR="00B308EA" w:rsidRPr="007F1538" w:rsidRDefault="00B308EA" w:rsidP="003511DA">
            <w:pPr>
              <w:autoSpaceDE w:val="0"/>
              <w:autoSpaceDN w:val="0"/>
              <w:adjustRightInd w:val="0"/>
              <w:rPr>
                <w:rFonts w:cs="Arial"/>
                <w:color w:val="000000"/>
                <w:lang w:val="fr-FR"/>
              </w:rPr>
            </w:pPr>
            <w:r w:rsidRPr="007F1538">
              <w:rPr>
                <w:rFonts w:cs="Arial"/>
                <w:color w:val="000000"/>
                <w:lang w:val="fr-FR"/>
              </w:rPr>
              <w:t>Veronique VANDELEENE</w:t>
            </w:r>
          </w:p>
        </w:tc>
        <w:tc>
          <w:tcPr>
            <w:tcW w:w="1328" w:type="pct"/>
            <w:tcBorders>
              <w:top w:val="outset" w:sz="6" w:space="0" w:color="669933"/>
              <w:left w:val="outset" w:sz="6" w:space="0" w:color="669933"/>
              <w:bottom w:val="outset" w:sz="6" w:space="0" w:color="669933"/>
              <w:right w:val="outset" w:sz="6" w:space="0" w:color="669933"/>
            </w:tcBorders>
          </w:tcPr>
          <w:p w:rsidR="000A06B7" w:rsidRPr="007F1538" w:rsidRDefault="000A06B7" w:rsidP="003511DA">
            <w:pPr>
              <w:autoSpaceDE w:val="0"/>
              <w:autoSpaceDN w:val="0"/>
              <w:adjustRightInd w:val="0"/>
              <w:rPr>
                <w:rFonts w:cs="Arial"/>
                <w:color w:val="000000"/>
                <w:lang w:val="fr-FR"/>
              </w:rPr>
            </w:pPr>
          </w:p>
          <w:p w:rsidR="00B308EA" w:rsidRPr="007F1538" w:rsidRDefault="00B308EA" w:rsidP="003511DA">
            <w:pPr>
              <w:autoSpaceDE w:val="0"/>
              <w:autoSpaceDN w:val="0"/>
              <w:adjustRightInd w:val="0"/>
              <w:rPr>
                <w:rFonts w:cs="Arial"/>
                <w:color w:val="000000"/>
                <w:lang w:val="fr-FR"/>
              </w:rPr>
            </w:pPr>
            <w:r w:rsidRPr="007F1538">
              <w:rPr>
                <w:rFonts w:cs="Arial"/>
                <w:color w:val="000000"/>
                <w:lang w:val="fr-FR"/>
              </w:rPr>
              <w:t>Bart VANNETELBOSCH</w:t>
            </w:r>
          </w:p>
        </w:tc>
        <w:tc>
          <w:tcPr>
            <w:tcW w:w="1171"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cs="Arial"/>
                <w:lang w:val="fr-FR"/>
              </w:rPr>
              <w:t>Annie VANHOUTTE</w:t>
            </w:r>
          </w:p>
        </w:tc>
        <w:tc>
          <w:tcPr>
            <w:tcW w:w="1250" w:type="pct"/>
            <w:tcBorders>
              <w:top w:val="outset" w:sz="6" w:space="0" w:color="669933"/>
              <w:left w:val="outset" w:sz="6" w:space="0" w:color="669933"/>
              <w:bottom w:val="outset" w:sz="6" w:space="0" w:color="669933"/>
              <w:right w:val="outset" w:sz="6" w:space="0" w:color="669933"/>
            </w:tcBorders>
            <w:vAlign w:val="bottom"/>
          </w:tcPr>
          <w:p w:rsidR="00B308EA" w:rsidRPr="007F1538" w:rsidRDefault="00B308EA" w:rsidP="003511DA">
            <w:pPr>
              <w:rPr>
                <w:rFonts w:eastAsia="Arial Unicode MS" w:cs="Arial"/>
                <w:lang w:val="fr-FR"/>
              </w:rPr>
            </w:pPr>
            <w:r w:rsidRPr="007F1538">
              <w:rPr>
                <w:rFonts w:eastAsia="Arial Unicode MS" w:cs="Arial"/>
                <w:lang w:val="fr-FR"/>
              </w:rPr>
              <w:t>Frank LINGIER</w:t>
            </w:r>
          </w:p>
        </w:tc>
      </w:tr>
    </w:tbl>
    <w:p w:rsidR="00A73AD2" w:rsidRPr="007F1538" w:rsidRDefault="00A73AD2">
      <w:pPr>
        <w:jc w:val="both"/>
        <w:rPr>
          <w:rFonts w:cs="Arial"/>
          <w:lang w:val="fr-FR"/>
        </w:rPr>
      </w:pPr>
    </w:p>
    <w:p w:rsidR="000A06B7" w:rsidRPr="007F1538" w:rsidRDefault="000A06B7">
      <w:pPr>
        <w:jc w:val="both"/>
        <w:rPr>
          <w:rFonts w:cs="Arial"/>
          <w:lang w:val="fr-FR"/>
        </w:rPr>
      </w:pPr>
    </w:p>
    <w:tbl>
      <w:tblPr>
        <w:tblW w:w="5000" w:type="pct"/>
        <w:tblCellSpacing w:w="0" w:type="dxa"/>
        <w:tblBorders>
          <w:top w:val="outset" w:sz="6" w:space="0" w:color="669933"/>
          <w:left w:val="outset" w:sz="6" w:space="0" w:color="669933"/>
          <w:bottom w:val="outset" w:sz="6" w:space="0" w:color="669933"/>
          <w:right w:val="outset" w:sz="6" w:space="0" w:color="669933"/>
        </w:tblBorders>
        <w:tblCellMar>
          <w:left w:w="0" w:type="dxa"/>
          <w:right w:w="0" w:type="dxa"/>
        </w:tblCellMar>
        <w:tblLook w:val="0000"/>
      </w:tblPr>
      <w:tblGrid>
        <w:gridCol w:w="2174"/>
        <w:gridCol w:w="2519"/>
        <w:gridCol w:w="2219"/>
        <w:gridCol w:w="2188"/>
      </w:tblGrid>
      <w:tr w:rsidR="00A73AD2" w:rsidRPr="007F1538" w:rsidTr="003511DA">
        <w:trPr>
          <w:tblCellSpacing w:w="0" w:type="dxa"/>
        </w:trPr>
        <w:tc>
          <w:tcPr>
            <w:tcW w:w="5000" w:type="pct"/>
            <w:gridSpan w:val="4"/>
            <w:tcBorders>
              <w:top w:val="outset" w:sz="6" w:space="0" w:color="669933"/>
              <w:left w:val="outset" w:sz="6" w:space="0" w:color="669933"/>
              <w:bottom w:val="outset" w:sz="6" w:space="0" w:color="669933"/>
              <w:right w:val="outset" w:sz="6" w:space="0" w:color="669933"/>
            </w:tcBorders>
            <w:vAlign w:val="center"/>
          </w:tcPr>
          <w:p w:rsidR="00A73AD2" w:rsidRPr="007F1538" w:rsidRDefault="003511DA" w:rsidP="00690B4E">
            <w:pPr>
              <w:pStyle w:val="NormalWeb"/>
              <w:rPr>
                <w:rFonts w:ascii="Arial" w:hAnsi="Arial" w:cs="Arial" w:hint="default"/>
                <w:sz w:val="20"/>
                <w:szCs w:val="20"/>
                <w:lang w:val="fr-FR"/>
              </w:rPr>
            </w:pPr>
            <w:r w:rsidRPr="003511DA">
              <w:rPr>
                <w:rFonts w:ascii="Arial" w:hAnsi="Arial" w:cs="Arial" w:hint="default"/>
                <w:b/>
                <w:bCs/>
                <w:sz w:val="20"/>
                <w:szCs w:val="20"/>
                <w:lang w:val="fr-FR"/>
              </w:rPr>
              <w:t>Assemblée générale 2009</w:t>
            </w:r>
          </w:p>
        </w:tc>
      </w:tr>
      <w:tr w:rsidR="00C07BED" w:rsidRPr="007F1538" w:rsidTr="003511DA">
        <w:trPr>
          <w:tblCellSpacing w:w="0" w:type="dxa"/>
        </w:trPr>
        <w:tc>
          <w:tcPr>
            <w:tcW w:w="2579" w:type="pct"/>
            <w:gridSpan w:val="2"/>
            <w:tcBorders>
              <w:top w:val="outset" w:sz="6" w:space="0" w:color="669933"/>
              <w:left w:val="outset" w:sz="6" w:space="0" w:color="669933"/>
              <w:bottom w:val="outset" w:sz="6" w:space="0" w:color="669933"/>
              <w:right w:val="outset" w:sz="6" w:space="0" w:color="669933"/>
            </w:tcBorders>
            <w:vAlign w:val="center"/>
          </w:tcPr>
          <w:p w:rsidR="00A73AD2" w:rsidRPr="007F1538" w:rsidRDefault="003511DA" w:rsidP="00690B4E">
            <w:pPr>
              <w:spacing w:line="225" w:lineRule="atLeast"/>
              <w:jc w:val="center"/>
              <w:rPr>
                <w:rFonts w:eastAsia="Arial Unicode MS" w:cs="Arial"/>
                <w:lang w:val="fr-FR"/>
              </w:rPr>
            </w:pPr>
            <w:r w:rsidRPr="003511DA">
              <w:rPr>
                <w:rFonts w:cs="Arial"/>
                <w:lang w:val="fr-FR"/>
              </w:rPr>
              <w:t>Ouvriers IFP</w:t>
            </w:r>
          </w:p>
        </w:tc>
        <w:tc>
          <w:tcPr>
            <w:tcW w:w="2421" w:type="pct"/>
            <w:gridSpan w:val="2"/>
            <w:tcBorders>
              <w:top w:val="outset" w:sz="6" w:space="0" w:color="669933"/>
              <w:left w:val="outset" w:sz="6" w:space="0" w:color="669933"/>
              <w:bottom w:val="outset" w:sz="6" w:space="0" w:color="669933"/>
              <w:right w:val="outset" w:sz="6" w:space="0" w:color="669933"/>
            </w:tcBorders>
            <w:vAlign w:val="center"/>
          </w:tcPr>
          <w:p w:rsidR="00A73AD2" w:rsidRPr="007F1538" w:rsidRDefault="003511DA" w:rsidP="00690B4E">
            <w:pPr>
              <w:spacing w:line="225" w:lineRule="atLeast"/>
              <w:jc w:val="center"/>
              <w:rPr>
                <w:rFonts w:eastAsia="Arial Unicode MS" w:cs="Arial"/>
                <w:lang w:val="fr-FR"/>
              </w:rPr>
            </w:pPr>
            <w:r w:rsidRPr="003511DA">
              <w:rPr>
                <w:rFonts w:cs="Arial"/>
                <w:lang w:val="fr-FR"/>
              </w:rPr>
              <w:t>Employés IFP</w:t>
            </w:r>
          </w:p>
        </w:tc>
      </w:tr>
      <w:tr w:rsidR="00C07BED"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employeurs :</w:t>
            </w:r>
          </w:p>
        </w:tc>
        <w:tc>
          <w:tcPr>
            <w:tcW w:w="1384"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travailleurs :</w:t>
            </w:r>
          </w:p>
        </w:tc>
        <w:tc>
          <w:tcPr>
            <w:tcW w:w="1219"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employeurs :</w:t>
            </w:r>
          </w:p>
        </w:tc>
        <w:tc>
          <w:tcPr>
            <w:tcW w:w="1202" w:type="pct"/>
            <w:tcBorders>
              <w:top w:val="outset" w:sz="6" w:space="0" w:color="669933"/>
              <w:left w:val="outset" w:sz="6" w:space="0" w:color="669933"/>
              <w:bottom w:val="outset" w:sz="6" w:space="0" w:color="669933"/>
              <w:right w:val="outset" w:sz="6" w:space="0" w:color="669933"/>
            </w:tcBorders>
          </w:tcPr>
          <w:p w:rsidR="00A73AD2" w:rsidRPr="007F1538" w:rsidRDefault="003511DA" w:rsidP="00690B4E">
            <w:pPr>
              <w:spacing w:before="240"/>
              <w:jc w:val="center"/>
              <w:rPr>
                <w:rFonts w:eastAsia="Arial Unicode MS" w:cs="Arial"/>
                <w:lang w:val="fr-FR"/>
              </w:rPr>
            </w:pPr>
            <w:r w:rsidRPr="003511DA">
              <w:rPr>
                <w:rFonts w:cs="Arial"/>
                <w:i/>
                <w:iCs/>
                <w:lang w:val="fr-FR"/>
              </w:rPr>
              <w:t>Pour les travailleurs :</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spacing w:before="240"/>
              <w:ind w:left="113"/>
              <w:rPr>
                <w:rFonts w:eastAsia="Arial Unicode MS" w:cs="Arial"/>
                <w:bCs/>
                <w:lang w:val="fr-FR"/>
              </w:rPr>
            </w:pPr>
            <w:r w:rsidRPr="007F1538">
              <w:rPr>
                <w:rFonts w:eastAsia="Arial Unicode MS" w:cs="Arial"/>
                <w:bCs/>
                <w:lang w:val="fr-FR"/>
              </w:rPr>
              <w:t>Marie-France ANSIEAUX</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lang w:val="fr-FR"/>
              </w:rPr>
            </w:pPr>
            <w:r w:rsidRPr="007F1538">
              <w:rPr>
                <w:rFonts w:cs="Arial"/>
                <w:lang w:val="fr-FR"/>
              </w:rPr>
              <w:t xml:space="preserve">Christian </w:t>
            </w:r>
            <w:r w:rsidRPr="007F1538">
              <w:rPr>
                <w:rFonts w:cs="Arial"/>
                <w:bCs/>
                <w:lang w:val="fr-FR"/>
              </w:rPr>
              <w:t>BOUCHAT</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D024EF" w:rsidP="000A06B7">
            <w:pPr>
              <w:ind w:left="113"/>
              <w:rPr>
                <w:rFonts w:eastAsia="Arial Unicode MS" w:cs="Arial"/>
                <w:bCs/>
                <w:lang w:val="fr-FR"/>
              </w:rPr>
            </w:pPr>
            <w:r w:rsidRPr="007F1538">
              <w:rPr>
                <w:rFonts w:eastAsia="Arial Unicode MS" w:cs="Arial"/>
                <w:bCs/>
                <w:lang w:val="fr-FR"/>
              </w:rPr>
              <w:t>Olivier GHENNE</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lang w:val="fr-FR"/>
              </w:rPr>
            </w:pPr>
            <w:r w:rsidRPr="007F1538">
              <w:rPr>
                <w:rFonts w:cs="Arial"/>
                <w:lang w:val="fr-FR"/>
              </w:rPr>
              <w:t xml:space="preserve">Bruno </w:t>
            </w:r>
            <w:r w:rsidRPr="007F1538">
              <w:rPr>
                <w:rFonts w:cs="Arial"/>
                <w:bCs/>
                <w:lang w:val="fr-FR"/>
              </w:rPr>
              <w:t>BAUDSON</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Claire BOSCH</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5238A0" w:rsidP="000A06B7">
            <w:pPr>
              <w:ind w:left="113"/>
              <w:rPr>
                <w:rFonts w:eastAsia="Arial Unicode MS" w:cs="Arial"/>
                <w:lang w:val="fr-FR"/>
              </w:rPr>
            </w:pPr>
            <w:r w:rsidRPr="007F1538">
              <w:rPr>
                <w:rFonts w:cs="Arial"/>
                <w:bCs/>
                <w:lang w:val="fr-FR"/>
              </w:rPr>
              <w:t>Tangui CORNU</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Claire BOSCH</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eastAsia="Arial Unicode MS" w:cs="Arial"/>
                <w:bCs/>
                <w:lang w:val="fr-FR"/>
              </w:rPr>
              <w:t>Jean-Pierre BONINSEGNA</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Manou </w:t>
            </w:r>
            <w:r w:rsidRPr="007F1538">
              <w:rPr>
                <w:rFonts w:cs="Arial"/>
                <w:bCs/>
                <w:lang w:val="fr-FR"/>
              </w:rPr>
              <w:t>DOUTREPONT</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Alain DETEMMERMAN</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Brigitte BRESART</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5238A0" w:rsidP="000A06B7">
            <w:pPr>
              <w:ind w:left="113"/>
              <w:rPr>
                <w:rFonts w:cs="Arial"/>
                <w:lang w:val="fr-FR"/>
              </w:rPr>
            </w:pPr>
            <w:r w:rsidRPr="007F1538">
              <w:rPr>
                <w:rFonts w:eastAsia="Arial Unicode MS" w:cs="Arial"/>
                <w:bCs/>
                <w:lang w:val="fr-FR"/>
              </w:rPr>
              <w:t>Koen DEWINTER</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5238A0" w:rsidP="000A06B7">
            <w:pPr>
              <w:ind w:left="113"/>
              <w:rPr>
                <w:rFonts w:eastAsia="Arial Unicode MS" w:cs="Arial"/>
                <w:bCs/>
                <w:lang w:val="fr-FR"/>
              </w:rPr>
            </w:pPr>
            <w:r w:rsidRPr="007F1538">
              <w:rPr>
                <w:rFonts w:eastAsia="Arial Unicode MS" w:cs="Arial"/>
                <w:bCs/>
                <w:lang w:val="fr-FR"/>
              </w:rPr>
              <w:t>Christophe DESLOOVERE</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cs="Arial"/>
                <w:lang w:val="fr-FR"/>
              </w:rPr>
              <w:t xml:space="preserve">Serge </w:t>
            </w:r>
            <w:r w:rsidRPr="007F1538">
              <w:rPr>
                <w:rFonts w:cs="Arial"/>
                <w:bCs/>
                <w:lang w:val="fr-FR"/>
              </w:rPr>
              <w:t>DEMEUSE</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Alain </w:t>
            </w:r>
            <w:r w:rsidRPr="007F1538">
              <w:rPr>
                <w:rFonts w:cs="Arial"/>
                <w:bCs/>
                <w:lang w:val="fr-FR"/>
              </w:rPr>
              <w:t>DEDEYNE</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bCs/>
                <w:lang w:val="fr-FR"/>
              </w:rPr>
            </w:pPr>
            <w:r w:rsidRPr="007F1538">
              <w:rPr>
                <w:rFonts w:cs="Arial"/>
                <w:lang w:val="fr-FR"/>
              </w:rPr>
              <w:t xml:space="preserve">Camille </w:t>
            </w:r>
            <w:r w:rsidRPr="007F1538">
              <w:rPr>
                <w:rFonts w:cs="Arial"/>
                <w:bCs/>
                <w:lang w:val="fr-FR"/>
              </w:rPr>
              <w:t>DELVAUX</w:t>
            </w:r>
            <w:r w:rsidR="00A77937" w:rsidRPr="007F1538">
              <w:rPr>
                <w:rFonts w:cs="Arial"/>
                <w:bCs/>
                <w:lang w:val="fr-FR"/>
              </w:rPr>
              <w:t>/</w:t>
            </w:r>
          </w:p>
          <w:p w:rsidR="00A77937" w:rsidRPr="007F1538" w:rsidRDefault="00A77937" w:rsidP="000A06B7">
            <w:pPr>
              <w:ind w:left="113"/>
              <w:rPr>
                <w:rFonts w:eastAsia="Arial Unicode MS" w:cs="Arial"/>
                <w:lang w:val="fr-FR"/>
              </w:rPr>
            </w:pPr>
            <w:r w:rsidRPr="007F1538">
              <w:rPr>
                <w:rFonts w:cs="Arial"/>
                <w:bCs/>
                <w:lang w:val="fr-FR"/>
              </w:rPr>
              <w:t>Marc SPARMONT**</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Bruno </w:t>
            </w:r>
            <w:r w:rsidRPr="007F1538">
              <w:rPr>
                <w:rFonts w:cs="Arial"/>
                <w:bCs/>
                <w:lang w:val="fr-FR"/>
              </w:rPr>
              <w:t>KUYLEN</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cs="Arial"/>
                <w:lang w:val="fr-FR"/>
              </w:rPr>
              <w:t>Louis DE PRINS</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Manou </w:t>
            </w:r>
            <w:r w:rsidRPr="007F1538">
              <w:rPr>
                <w:rFonts w:cs="Arial"/>
                <w:bCs/>
                <w:lang w:val="fr-FR"/>
              </w:rPr>
              <w:t>DOUTREPONT</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lang w:val="fr-FR"/>
              </w:rPr>
            </w:pPr>
            <w:r w:rsidRPr="007F1538">
              <w:rPr>
                <w:rFonts w:cs="Arial"/>
                <w:lang w:val="fr-FR"/>
              </w:rPr>
              <w:t xml:space="preserve">Jean-Raymond </w:t>
            </w:r>
            <w:r w:rsidRPr="007F1538">
              <w:rPr>
                <w:rFonts w:cs="Arial"/>
                <w:bCs/>
                <w:lang w:val="fr-FR"/>
              </w:rPr>
              <w:t>DEMPTINE</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Greet MOERMAN</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Frans </w:t>
            </w:r>
            <w:r w:rsidRPr="007F1538">
              <w:rPr>
                <w:rFonts w:cs="Arial"/>
                <w:bCs/>
                <w:lang w:val="fr-FR"/>
              </w:rPr>
              <w:t>DIRIX</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D024EF" w:rsidP="000A06B7">
            <w:pPr>
              <w:ind w:left="113"/>
              <w:rPr>
                <w:rFonts w:eastAsia="Arial Unicode MS" w:cs="Arial"/>
                <w:bCs/>
                <w:lang w:val="fr-FR"/>
              </w:rPr>
            </w:pPr>
            <w:r w:rsidRPr="007F1538">
              <w:rPr>
                <w:rFonts w:cs="Arial"/>
                <w:bCs/>
                <w:lang w:val="fr-FR"/>
              </w:rPr>
              <w:t>Anne REUL</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Piet </w:t>
            </w:r>
            <w:r w:rsidRPr="007F1538">
              <w:rPr>
                <w:rFonts w:cs="Arial"/>
                <w:bCs/>
                <w:lang w:val="fr-FR"/>
              </w:rPr>
              <w:t>FOULON</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cs="Arial"/>
                <w:lang w:val="fr-FR"/>
              </w:rPr>
              <w:t>Henri PLESSERS</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5238A0" w:rsidP="000A06B7">
            <w:pPr>
              <w:ind w:left="113"/>
              <w:rPr>
                <w:rFonts w:eastAsia="Arial Unicode MS" w:cs="Arial"/>
                <w:lang w:val="fr-FR"/>
              </w:rPr>
            </w:pPr>
            <w:r w:rsidRPr="007F1538">
              <w:rPr>
                <w:rFonts w:eastAsia="Arial Unicode MS" w:cs="Arial"/>
                <w:bCs/>
                <w:lang w:val="fr-FR"/>
              </w:rPr>
              <w:t>Koen DEWINTER</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Greet MOERMAN</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Ilse </w:t>
            </w:r>
            <w:r w:rsidRPr="007F1538">
              <w:rPr>
                <w:rFonts w:cs="Arial"/>
                <w:bCs/>
                <w:lang w:val="fr-FR"/>
              </w:rPr>
              <w:t>GALLIAERT</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A77937" w:rsidP="000A06B7">
            <w:pPr>
              <w:ind w:left="113"/>
              <w:rPr>
                <w:rFonts w:cs="Arial"/>
                <w:lang w:val="fr-FR"/>
              </w:rPr>
            </w:pPr>
            <w:r w:rsidRPr="007F1538">
              <w:rPr>
                <w:rFonts w:cs="Arial"/>
                <w:lang w:val="fr-FR"/>
              </w:rPr>
              <w:t>Luc Lievens/</w:t>
            </w:r>
            <w:r w:rsidR="000A06B7" w:rsidRPr="007F1538">
              <w:rPr>
                <w:rFonts w:cs="Arial"/>
                <w:lang w:val="fr-FR"/>
              </w:rPr>
              <w:br/>
            </w:r>
            <w:r w:rsidR="004856A8" w:rsidRPr="007F1538">
              <w:rPr>
                <w:rFonts w:cs="Arial"/>
                <w:lang w:val="fr-FR"/>
              </w:rPr>
              <w:t>Anne REUL</w:t>
            </w:r>
            <w:r w:rsidRPr="007F1538">
              <w:rPr>
                <w:rFonts w:cs="Arial"/>
                <w:lang w:val="fr-FR"/>
              </w:rPr>
              <w:t>*</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lang w:val="fr-FR"/>
              </w:rPr>
            </w:pPr>
            <w:r w:rsidRPr="007F1538">
              <w:rPr>
                <w:rFonts w:cs="Arial"/>
                <w:lang w:val="fr-FR"/>
              </w:rPr>
              <w:t xml:space="preserve">Freddy </w:t>
            </w:r>
            <w:r w:rsidRPr="007F1538">
              <w:rPr>
                <w:rFonts w:cs="Arial"/>
                <w:bCs/>
                <w:lang w:val="fr-FR"/>
              </w:rPr>
              <w:t>QUACKELBEEN</w:t>
            </w:r>
            <w:r w:rsidR="00A77937" w:rsidRPr="007F1538">
              <w:rPr>
                <w:rFonts w:cs="Arial"/>
                <w:bCs/>
                <w:lang w:val="fr-FR"/>
              </w:rPr>
              <w:t>/ Sonja BROUCKE</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Patrick </w:t>
            </w:r>
            <w:r w:rsidRPr="007F1538">
              <w:rPr>
                <w:rFonts w:cs="Arial"/>
                <w:bCs/>
                <w:lang w:val="fr-FR"/>
              </w:rPr>
              <w:t>MUYLLE</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Paul  HEYKANTS</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cs="Arial"/>
                <w:lang w:val="fr-FR"/>
              </w:rPr>
              <w:t>Regine VAN ACKERE</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lang w:val="fr-FR"/>
              </w:rPr>
            </w:pPr>
            <w:r w:rsidRPr="007F1538">
              <w:rPr>
                <w:rFonts w:cs="Arial"/>
                <w:lang w:val="fr-FR"/>
              </w:rPr>
              <w:t xml:space="preserve">Chris </w:t>
            </w:r>
            <w:r w:rsidRPr="007F1538">
              <w:rPr>
                <w:rFonts w:cs="Arial"/>
                <w:bCs/>
                <w:lang w:val="fr-FR"/>
              </w:rPr>
              <w:t>VAN BEVER</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Anne </w:t>
            </w:r>
            <w:r w:rsidRPr="007F1538">
              <w:rPr>
                <w:rFonts w:cs="Arial"/>
                <w:bCs/>
                <w:lang w:val="fr-FR"/>
              </w:rPr>
              <w:t>REUL</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cs="Arial"/>
                <w:lang w:val="fr-FR"/>
              </w:rPr>
              <w:t>Frank LINGIER</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Veronique </w:t>
            </w:r>
            <w:r w:rsidRPr="007F1538">
              <w:rPr>
                <w:rFonts w:cs="Arial"/>
                <w:bCs/>
                <w:lang w:val="fr-FR"/>
              </w:rPr>
              <w:t>VANDELEENE</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Bart </w:t>
            </w:r>
            <w:r w:rsidRPr="007F1538">
              <w:rPr>
                <w:rFonts w:cs="Arial"/>
                <w:bCs/>
                <w:lang w:val="fr-FR"/>
              </w:rPr>
              <w:t>VANNETELBOSCH</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Rodolf </w:t>
            </w:r>
            <w:r w:rsidRPr="007F1538">
              <w:rPr>
                <w:rFonts w:cs="Arial"/>
                <w:bCs/>
                <w:lang w:val="fr-FR"/>
              </w:rPr>
              <w:t>ROELANT</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Karin </w:t>
            </w:r>
            <w:r w:rsidRPr="007F1538">
              <w:rPr>
                <w:rFonts w:cs="Arial"/>
                <w:bCs/>
                <w:lang w:val="fr-FR"/>
              </w:rPr>
              <w:t>SCHAERLAEKENS</w:t>
            </w:r>
          </w:p>
        </w:tc>
      </w:tr>
      <w:tr w:rsidR="004856A8" w:rsidRPr="007F1538" w:rsidTr="003511DA">
        <w:trPr>
          <w:tblCellSpacing w:w="0" w:type="dxa"/>
        </w:trPr>
        <w:tc>
          <w:tcPr>
            <w:tcW w:w="1195"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7E4F7E" w:rsidP="000A06B7">
            <w:pPr>
              <w:ind w:left="113"/>
              <w:rPr>
                <w:rFonts w:eastAsia="Arial Unicode MS" w:cs="Arial"/>
                <w:bCs/>
                <w:lang w:val="fr-FR"/>
              </w:rPr>
            </w:pPr>
            <w:r w:rsidRPr="007F1538">
              <w:rPr>
                <w:rFonts w:eastAsia="Arial Unicode MS" w:cs="Arial"/>
                <w:bCs/>
                <w:lang w:val="fr-FR"/>
              </w:rPr>
              <w:t xml:space="preserve"> </w:t>
            </w:r>
            <w:r w:rsidR="00575132" w:rsidRPr="007F1538">
              <w:rPr>
                <w:rFonts w:cs="Arial"/>
                <w:lang w:val="fr-FR"/>
              </w:rPr>
              <w:t>Johan HALLAERT</w:t>
            </w:r>
            <w:r w:rsidR="00A77937" w:rsidRPr="007F1538">
              <w:rPr>
                <w:rFonts w:cs="Arial"/>
                <w:lang w:val="fr-FR"/>
              </w:rPr>
              <w:t>/ Ivo VERHAERT**</w:t>
            </w:r>
          </w:p>
        </w:tc>
        <w:tc>
          <w:tcPr>
            <w:tcW w:w="1384"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cs="Arial"/>
                <w:lang w:val="fr-FR"/>
              </w:rPr>
            </w:pPr>
            <w:r w:rsidRPr="007F1538">
              <w:rPr>
                <w:rFonts w:cs="Arial"/>
                <w:lang w:val="fr-FR"/>
              </w:rPr>
              <w:t>Philippe YERNA</w:t>
            </w:r>
          </w:p>
        </w:tc>
        <w:tc>
          <w:tcPr>
            <w:tcW w:w="1219"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eastAsia="Arial Unicode MS" w:cs="Arial"/>
                <w:bCs/>
                <w:lang w:val="fr-FR"/>
              </w:rPr>
              <w:t>Annie VANHOUTTE</w:t>
            </w:r>
          </w:p>
        </w:tc>
        <w:tc>
          <w:tcPr>
            <w:tcW w:w="1202" w:type="pct"/>
            <w:tcBorders>
              <w:top w:val="outset" w:sz="6" w:space="0" w:color="669933"/>
              <w:left w:val="outset" w:sz="6" w:space="0" w:color="669933"/>
              <w:bottom w:val="outset" w:sz="6" w:space="0" w:color="669933"/>
              <w:right w:val="outset" w:sz="6" w:space="0" w:color="669933"/>
            </w:tcBorders>
            <w:vAlign w:val="bottom"/>
          </w:tcPr>
          <w:p w:rsidR="004856A8" w:rsidRPr="007F1538" w:rsidRDefault="004856A8" w:rsidP="000A06B7">
            <w:pPr>
              <w:ind w:left="113"/>
              <w:rPr>
                <w:rFonts w:eastAsia="Arial Unicode MS" w:cs="Arial"/>
                <w:bCs/>
                <w:lang w:val="fr-FR"/>
              </w:rPr>
            </w:pPr>
            <w:r w:rsidRPr="007F1538">
              <w:rPr>
                <w:rFonts w:cs="Arial"/>
                <w:lang w:val="fr-FR"/>
              </w:rPr>
              <w:t xml:space="preserve">Eric </w:t>
            </w:r>
            <w:r w:rsidRPr="007F1538">
              <w:rPr>
                <w:rFonts w:cs="Arial"/>
                <w:bCs/>
                <w:lang w:val="fr-FR"/>
              </w:rPr>
              <w:t>VAN DER SMISSEN</w:t>
            </w:r>
          </w:p>
        </w:tc>
      </w:tr>
    </w:tbl>
    <w:p w:rsidR="007C605C" w:rsidRPr="007F1538" w:rsidRDefault="007C605C" w:rsidP="000A06B7">
      <w:pPr>
        <w:jc w:val="both"/>
        <w:rPr>
          <w:rFonts w:cs="Arial"/>
          <w:i/>
          <w:lang w:val="fr-FR"/>
        </w:rPr>
      </w:pPr>
    </w:p>
    <w:p w:rsidR="007C605C" w:rsidRPr="007F1538" w:rsidRDefault="003511DA" w:rsidP="007C605C">
      <w:pPr>
        <w:jc w:val="both"/>
        <w:rPr>
          <w:rFonts w:cs="Arial"/>
          <w:i/>
          <w:lang w:val="fr-FR"/>
        </w:rPr>
      </w:pPr>
      <w:r>
        <w:rPr>
          <w:rFonts w:cs="Arial"/>
          <w:i/>
          <w:lang w:val="fr-FR"/>
        </w:rPr>
        <w:t xml:space="preserve">* </w:t>
      </w:r>
      <w:r w:rsidRPr="003511DA">
        <w:rPr>
          <w:rFonts w:cs="Arial"/>
          <w:i/>
          <w:lang w:val="fr-FR"/>
        </w:rPr>
        <w:t>à partir du 11/6/2009</w:t>
      </w:r>
    </w:p>
    <w:p w:rsidR="007C605C" w:rsidRPr="007F1538" w:rsidRDefault="003511DA" w:rsidP="007C605C">
      <w:pPr>
        <w:jc w:val="both"/>
        <w:rPr>
          <w:rFonts w:cs="Arial"/>
          <w:i/>
          <w:lang w:val="fr-FR"/>
        </w:rPr>
      </w:pPr>
      <w:r w:rsidRPr="003511DA">
        <w:rPr>
          <w:rFonts w:cs="Arial"/>
          <w:i/>
          <w:lang w:val="fr-FR"/>
        </w:rPr>
        <w:t>** à partir du 15/12/2009</w:t>
      </w:r>
    </w:p>
    <w:p w:rsidR="00B401E6" w:rsidRPr="007F1538" w:rsidRDefault="00C10974" w:rsidP="003511DA">
      <w:pPr>
        <w:pStyle w:val="Heading1"/>
        <w:rPr>
          <w:lang w:val="fr-FR"/>
        </w:rPr>
      </w:pPr>
      <w:r w:rsidRPr="007F1538">
        <w:rPr>
          <w:lang w:val="fr-FR"/>
        </w:rPr>
        <w:br w:type="page"/>
      </w:r>
      <w:bookmarkStart w:id="98" w:name="_Toc267060137"/>
      <w:bookmarkStart w:id="99" w:name="_Toc269220691"/>
      <w:bookmarkStart w:id="100" w:name="_Toc169421578"/>
      <w:bookmarkStart w:id="101" w:name="_Toc169421739"/>
      <w:bookmarkStart w:id="102" w:name="_Toc231044724"/>
      <w:r w:rsidR="00726EC7" w:rsidRPr="003511DA">
        <w:rPr>
          <w:lang w:val="fr-FR"/>
        </w:rPr>
        <w:lastRenderedPageBreak/>
        <w:t>Annexes</w:t>
      </w:r>
      <w:bookmarkEnd w:id="98"/>
      <w:bookmarkEnd w:id="99"/>
    </w:p>
    <w:p w:rsidR="00A73AD2" w:rsidRPr="007F1538" w:rsidRDefault="00726EC7" w:rsidP="00726EC7">
      <w:pPr>
        <w:pStyle w:val="Heading2"/>
        <w:rPr>
          <w:lang w:val="fr-FR"/>
        </w:rPr>
      </w:pPr>
      <w:bookmarkStart w:id="103" w:name="_Toc267060138"/>
      <w:bookmarkStart w:id="104" w:name="_Toc269220692"/>
      <w:bookmarkEnd w:id="100"/>
      <w:bookmarkEnd w:id="101"/>
      <w:bookmarkEnd w:id="102"/>
      <w:r w:rsidRPr="00726EC7">
        <w:rPr>
          <w:lang w:val="fr-FR"/>
        </w:rPr>
        <w:t>Annexe 1. L’industrie alimentaire en question</w:t>
      </w:r>
      <w:bookmarkEnd w:id="103"/>
      <w:bookmarkEnd w:id="104"/>
    </w:p>
    <w:p w:rsidR="00A73AD2" w:rsidRPr="007F1538" w:rsidRDefault="00726EC7" w:rsidP="00686C44">
      <w:pPr>
        <w:tabs>
          <w:tab w:val="left" w:pos="360"/>
        </w:tabs>
        <w:rPr>
          <w:rFonts w:cs="Arial"/>
          <w:color w:val="000000"/>
          <w:lang w:val="fr-FR"/>
        </w:rPr>
      </w:pPr>
      <w:r w:rsidRPr="00726EC7">
        <w:rPr>
          <w:rFonts w:cs="Arial"/>
          <w:color w:val="000000"/>
          <w:lang w:val="fr-FR"/>
        </w:rPr>
        <w:t>L’IFP est le centre de formation de l’industrie alimentaire, et plus particulièrement des commissions paritaires 118 (ouvriers) et 220 (employés).</w:t>
      </w:r>
      <w:r w:rsidR="00A73AD2" w:rsidRPr="007F1538">
        <w:rPr>
          <w:rFonts w:cs="Arial"/>
          <w:color w:val="000000"/>
          <w:lang w:val="fr-FR"/>
        </w:rPr>
        <w:t xml:space="preserve"> </w:t>
      </w:r>
      <w:r w:rsidRPr="00726EC7">
        <w:rPr>
          <w:rFonts w:cs="Arial"/>
          <w:color w:val="000000"/>
          <w:lang w:val="fr-FR"/>
        </w:rPr>
        <w:t>L’industrie alimentaire occupe près de 90.000 travailleurs qui transforment des matières premières provenant de l’agriculture et de la pêche en produits alimentaires destinés à l’homme et à l’animal.</w:t>
      </w:r>
      <w:r w:rsidR="00A73AD2" w:rsidRPr="007F1538">
        <w:rPr>
          <w:rFonts w:cs="Arial"/>
          <w:lang w:val="fr-FR"/>
        </w:rPr>
        <w:t xml:space="preserve"> </w:t>
      </w:r>
      <w:r w:rsidRPr="00726EC7">
        <w:rPr>
          <w:rFonts w:cs="Arial"/>
          <w:lang w:val="fr-FR"/>
        </w:rPr>
        <w:t>Le champ d’action de l’IFP comprend donc une grande diversité de sous-secteurs tels que les biscuiteries, les brasseries et les producteurs de boissons rafraîchissantes, le secteur des produits laitiers ou encore l’industrie de transformation de la viande.</w:t>
      </w:r>
      <w:r w:rsidR="00A73AD2" w:rsidRPr="007F1538">
        <w:rPr>
          <w:rFonts w:cs="Arial"/>
          <w:color w:val="000000"/>
          <w:lang w:val="fr-FR"/>
        </w:rPr>
        <w:t xml:space="preserve"> </w:t>
      </w:r>
      <w:r w:rsidRPr="00726EC7">
        <w:rPr>
          <w:rFonts w:cs="Arial"/>
          <w:color w:val="000000"/>
          <w:lang w:val="fr-FR"/>
        </w:rPr>
        <w:t>Les établissements horeca, de même que ceux de la petite ou grande distribution, ne font donc pas partie du champ d’activité de l’IFP.</w:t>
      </w:r>
    </w:p>
    <w:p w:rsidR="00A73AD2" w:rsidRPr="007F1538" w:rsidRDefault="00A73AD2">
      <w:pPr>
        <w:tabs>
          <w:tab w:val="left" w:pos="360"/>
        </w:tabs>
        <w:jc w:val="both"/>
        <w:rPr>
          <w:rFonts w:cs="Arial"/>
          <w:color w:val="000000"/>
          <w:lang w:val="fr-FR"/>
        </w:rPr>
      </w:pPr>
    </w:p>
    <w:p w:rsidR="00A73AD2" w:rsidRPr="007F1538" w:rsidRDefault="00726EC7" w:rsidP="00686C44">
      <w:pPr>
        <w:tabs>
          <w:tab w:val="left" w:pos="360"/>
        </w:tabs>
        <w:rPr>
          <w:rFonts w:cs="Arial"/>
          <w:color w:val="000000"/>
          <w:lang w:val="fr-FR"/>
        </w:rPr>
      </w:pPr>
      <w:r w:rsidRPr="00726EC7">
        <w:rPr>
          <w:rFonts w:cs="Arial"/>
          <w:color w:val="000000"/>
          <w:lang w:val="fr-FR"/>
        </w:rPr>
        <w:t>Etant donné que l’industrie alimentaire représente des branches très diverses aux activités pour le moins hétérogènes, ce secteur est bien souvent dénué d’une identité claire et précise.</w:t>
      </w:r>
      <w:r w:rsidR="00A73AD2" w:rsidRPr="007F1538">
        <w:rPr>
          <w:rFonts w:cs="Arial"/>
          <w:color w:val="000000"/>
          <w:lang w:val="fr-FR"/>
        </w:rPr>
        <w:t xml:space="preserve"> </w:t>
      </w:r>
      <w:r w:rsidRPr="00726EC7">
        <w:rPr>
          <w:rFonts w:cs="Arial"/>
          <w:color w:val="000000"/>
          <w:lang w:val="fr-FR"/>
        </w:rPr>
        <w:t>L'importance du secteur est souvent sous-estimée dans l'industrie belge.</w:t>
      </w:r>
      <w:r w:rsidR="00A73AD2" w:rsidRPr="007F1538">
        <w:rPr>
          <w:rFonts w:cs="Arial"/>
          <w:color w:val="000000"/>
          <w:lang w:val="fr-FR"/>
        </w:rPr>
        <w:t xml:space="preserve"> </w:t>
      </w:r>
      <w:r w:rsidRPr="00726EC7">
        <w:rPr>
          <w:rFonts w:cs="Arial"/>
          <w:color w:val="000000"/>
          <w:lang w:val="fr-FR"/>
        </w:rPr>
        <w:t>Pourtant, l'industrie alimentaire est le deuxième employeur le plus important en Belgique.</w:t>
      </w:r>
      <w:r w:rsidR="00A73AD2" w:rsidRPr="007F1538">
        <w:rPr>
          <w:rFonts w:cs="Arial"/>
          <w:color w:val="000000"/>
          <w:lang w:val="fr-FR"/>
        </w:rPr>
        <w:t xml:space="preserve"> </w:t>
      </w:r>
      <w:r w:rsidRPr="00726EC7">
        <w:rPr>
          <w:rFonts w:cs="Arial"/>
          <w:color w:val="000000"/>
          <w:lang w:val="fr-FR"/>
        </w:rPr>
        <w:t>De plus, l’emploi y reste relativement stable, ce dont peu de secteurs industriels peuvent se prévaloir</w:t>
      </w:r>
      <w:r w:rsidRPr="00726EC7">
        <w:rPr>
          <w:rStyle w:val="FootnoteReference"/>
          <w:rFonts w:cs="Arial"/>
          <w:color w:val="000000"/>
          <w:lang w:val="fr-FR"/>
        </w:rPr>
        <w:footnoteReference w:id="8"/>
      </w:r>
      <w:r w:rsidRPr="00726EC7">
        <w:rPr>
          <w:rFonts w:cs="Arial"/>
          <w:color w:val="000000"/>
          <w:lang w:val="fr-FR"/>
        </w:rPr>
        <w:t>.</w:t>
      </w:r>
    </w:p>
    <w:p w:rsidR="00A73AD2" w:rsidRPr="007F1538" w:rsidRDefault="00A73AD2">
      <w:pPr>
        <w:tabs>
          <w:tab w:val="left" w:pos="360"/>
        </w:tabs>
        <w:jc w:val="both"/>
        <w:rPr>
          <w:rFonts w:cs="Arial"/>
          <w:lang w:val="fr-FR"/>
        </w:rPr>
      </w:pPr>
    </w:p>
    <w:p w:rsidR="00A73AD2" w:rsidRPr="007F1538" w:rsidRDefault="00726EC7" w:rsidP="00726EC7">
      <w:pPr>
        <w:pStyle w:val="BodyText3"/>
        <w:tabs>
          <w:tab w:val="left" w:pos="360"/>
        </w:tabs>
        <w:rPr>
          <w:rFonts w:cs="Arial"/>
          <w:sz w:val="20"/>
          <w:szCs w:val="20"/>
          <w:lang w:val="fr-FR"/>
        </w:rPr>
      </w:pPr>
      <w:r w:rsidRPr="00726EC7">
        <w:rPr>
          <w:rFonts w:cs="Arial"/>
          <w:sz w:val="20"/>
          <w:szCs w:val="20"/>
          <w:lang w:val="fr-FR"/>
        </w:rPr>
        <w:t>Tableau a :</w:t>
      </w:r>
      <w:r w:rsidR="00A73AD2" w:rsidRPr="007F1538">
        <w:rPr>
          <w:rFonts w:cs="Arial"/>
          <w:sz w:val="20"/>
          <w:szCs w:val="20"/>
          <w:lang w:val="fr-FR"/>
        </w:rPr>
        <w:t xml:space="preserve"> </w:t>
      </w:r>
      <w:r w:rsidRPr="00726EC7">
        <w:rPr>
          <w:rFonts w:cs="Arial"/>
          <w:sz w:val="20"/>
          <w:szCs w:val="20"/>
          <w:lang w:val="fr-FR"/>
        </w:rPr>
        <w:t>les différentes branches de l’industrie alimentaire classées en fonction du taux d’emploi.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2"/>
        <w:gridCol w:w="1623"/>
      </w:tblGrid>
      <w:tr w:rsidR="00CD5562" w:rsidRPr="007F1538" w:rsidTr="00315343">
        <w:trPr>
          <w:jc w:val="center"/>
        </w:trPr>
        <w:tc>
          <w:tcPr>
            <w:tcW w:w="4542" w:type="dxa"/>
          </w:tcPr>
          <w:p w:rsidR="00CD5562" w:rsidRPr="007F1538" w:rsidRDefault="00726EC7" w:rsidP="00690B4E">
            <w:pPr>
              <w:pStyle w:val="BodyText3"/>
              <w:tabs>
                <w:tab w:val="left" w:pos="360"/>
              </w:tabs>
              <w:rPr>
                <w:rFonts w:cs="Arial"/>
                <w:sz w:val="20"/>
                <w:szCs w:val="20"/>
                <w:lang w:val="fr-FR"/>
              </w:rPr>
            </w:pPr>
            <w:r w:rsidRPr="00726EC7">
              <w:rPr>
                <w:rFonts w:cs="Arial"/>
                <w:sz w:val="20"/>
                <w:szCs w:val="20"/>
                <w:lang w:val="fr-FR"/>
              </w:rPr>
              <w:t>Branche</w:t>
            </w:r>
          </w:p>
        </w:tc>
        <w:tc>
          <w:tcPr>
            <w:tcW w:w="1623" w:type="dxa"/>
          </w:tcPr>
          <w:p w:rsidR="00CD5562" w:rsidRPr="007F1538" w:rsidRDefault="00726EC7" w:rsidP="00726EC7">
            <w:pPr>
              <w:pStyle w:val="BodyText3"/>
              <w:tabs>
                <w:tab w:val="left" w:pos="360"/>
              </w:tabs>
              <w:jc w:val="center"/>
              <w:rPr>
                <w:rFonts w:cs="Arial"/>
                <w:sz w:val="20"/>
                <w:szCs w:val="20"/>
                <w:lang w:val="fr-FR"/>
              </w:rPr>
            </w:pPr>
            <w:r w:rsidRPr="00726EC7">
              <w:rPr>
                <w:rFonts w:cs="Arial"/>
                <w:sz w:val="20"/>
                <w:szCs w:val="20"/>
                <w:lang w:val="fr-FR"/>
              </w:rPr>
              <w:t>Emploi</w:t>
            </w:r>
          </w:p>
          <w:p w:rsidR="00CD5562" w:rsidRPr="007F1538" w:rsidRDefault="00CD5562">
            <w:pPr>
              <w:pStyle w:val="BodyText3"/>
              <w:jc w:val="center"/>
              <w:rPr>
                <w:rFonts w:cs="Arial"/>
                <w:sz w:val="20"/>
                <w:szCs w:val="20"/>
                <w:lang w:val="fr-FR"/>
              </w:rPr>
            </w:pPr>
            <w:r w:rsidRPr="007F1538">
              <w:rPr>
                <w:rFonts w:cs="Arial"/>
                <w:sz w:val="20"/>
                <w:szCs w:val="20"/>
                <w:lang w:val="fr-FR"/>
              </w:rPr>
              <w:t>200</w:t>
            </w:r>
            <w:r w:rsidR="001E6A53" w:rsidRPr="007F1538">
              <w:rPr>
                <w:rFonts w:cs="Arial"/>
                <w:sz w:val="20"/>
                <w:szCs w:val="20"/>
                <w:lang w:val="fr-FR"/>
              </w:rPr>
              <w:t>7</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Pain, pâtisseries, biscottes et biscuits</w:t>
            </w:r>
          </w:p>
        </w:tc>
        <w:tc>
          <w:tcPr>
            <w:tcW w:w="1623" w:type="dxa"/>
            <w:vAlign w:val="bottom"/>
          </w:tcPr>
          <w:p w:rsidR="00D77E1B" w:rsidRPr="007F1538" w:rsidRDefault="001E6A53">
            <w:pPr>
              <w:jc w:val="center"/>
              <w:rPr>
                <w:rFonts w:cs="Arial"/>
                <w:lang w:val="fr-FR"/>
              </w:rPr>
            </w:pPr>
            <w:r w:rsidRPr="007F1538">
              <w:rPr>
                <w:rFonts w:cs="Arial"/>
                <w:lang w:val="fr-FR"/>
              </w:rPr>
              <w:t>29,6</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Abattoirs et viandes</w:t>
            </w:r>
          </w:p>
        </w:tc>
        <w:tc>
          <w:tcPr>
            <w:tcW w:w="1623" w:type="dxa"/>
            <w:vAlign w:val="bottom"/>
          </w:tcPr>
          <w:p w:rsidR="00D77E1B" w:rsidRPr="007F1538" w:rsidRDefault="001E6A53">
            <w:pPr>
              <w:jc w:val="center"/>
              <w:rPr>
                <w:rFonts w:cs="Arial"/>
                <w:lang w:val="fr-FR"/>
              </w:rPr>
            </w:pPr>
            <w:r w:rsidRPr="007F1538">
              <w:rPr>
                <w:rFonts w:cs="Arial"/>
                <w:lang w:val="fr-FR"/>
              </w:rPr>
              <w:t>15,8</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Cacao, chocolat, confiserie</w:t>
            </w:r>
          </w:p>
        </w:tc>
        <w:tc>
          <w:tcPr>
            <w:tcW w:w="1623" w:type="dxa"/>
            <w:vAlign w:val="bottom"/>
          </w:tcPr>
          <w:p w:rsidR="00D77E1B" w:rsidRPr="007F1538" w:rsidRDefault="00D77E1B">
            <w:pPr>
              <w:jc w:val="center"/>
              <w:rPr>
                <w:rFonts w:cs="Arial"/>
                <w:lang w:val="fr-FR"/>
              </w:rPr>
            </w:pPr>
            <w:r w:rsidRPr="007F1538">
              <w:rPr>
                <w:rFonts w:cs="Arial"/>
                <w:lang w:val="fr-FR"/>
              </w:rPr>
              <w:t>9,30%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Transformation et conservation des fruits et légumes</w:t>
            </w:r>
          </w:p>
        </w:tc>
        <w:tc>
          <w:tcPr>
            <w:tcW w:w="1623" w:type="dxa"/>
            <w:vAlign w:val="bottom"/>
          </w:tcPr>
          <w:p w:rsidR="00D77E1B" w:rsidRPr="007F1538" w:rsidRDefault="001E6A53">
            <w:pPr>
              <w:jc w:val="center"/>
              <w:rPr>
                <w:rFonts w:cs="Arial"/>
                <w:lang w:val="fr-FR"/>
              </w:rPr>
            </w:pPr>
            <w:r w:rsidRPr="007F1538">
              <w:rPr>
                <w:rFonts w:cs="Arial"/>
                <w:lang w:val="fr-FR"/>
              </w:rPr>
              <w:t>8,6</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Produits laitiers</w:t>
            </w:r>
          </w:p>
        </w:tc>
        <w:tc>
          <w:tcPr>
            <w:tcW w:w="1623" w:type="dxa"/>
            <w:vAlign w:val="bottom"/>
          </w:tcPr>
          <w:p w:rsidR="00D77E1B" w:rsidRPr="007F1538" w:rsidRDefault="001E6A53">
            <w:pPr>
              <w:jc w:val="center"/>
              <w:rPr>
                <w:rFonts w:cs="Arial"/>
                <w:lang w:val="fr-FR"/>
              </w:rPr>
            </w:pPr>
            <w:r w:rsidRPr="007F1538">
              <w:rPr>
                <w:rFonts w:cs="Arial"/>
                <w:lang w:val="fr-FR"/>
              </w:rPr>
              <w:t>8,1</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Brasseries et malteries</w:t>
            </w:r>
          </w:p>
        </w:tc>
        <w:tc>
          <w:tcPr>
            <w:tcW w:w="1623" w:type="dxa"/>
            <w:vAlign w:val="bottom"/>
          </w:tcPr>
          <w:p w:rsidR="00D77E1B" w:rsidRPr="007F1538" w:rsidRDefault="001E6A53">
            <w:pPr>
              <w:jc w:val="center"/>
              <w:rPr>
                <w:rFonts w:cs="Arial"/>
                <w:lang w:val="fr-FR"/>
              </w:rPr>
            </w:pPr>
            <w:r w:rsidRPr="007F1538">
              <w:rPr>
                <w:rFonts w:cs="Arial"/>
                <w:lang w:val="fr-FR"/>
              </w:rPr>
              <w:t>6,2</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Eaux et boissons rafraîchissantes</w:t>
            </w:r>
          </w:p>
        </w:tc>
        <w:tc>
          <w:tcPr>
            <w:tcW w:w="1623" w:type="dxa"/>
            <w:vAlign w:val="bottom"/>
          </w:tcPr>
          <w:p w:rsidR="00D77E1B" w:rsidRPr="007F1538" w:rsidRDefault="00D77E1B">
            <w:pPr>
              <w:jc w:val="center"/>
              <w:rPr>
                <w:rFonts w:cs="Arial"/>
                <w:lang w:val="fr-FR"/>
              </w:rPr>
            </w:pPr>
            <w:r w:rsidRPr="007F1538">
              <w:rPr>
                <w:rFonts w:cs="Arial"/>
                <w:lang w:val="fr-FR"/>
              </w:rPr>
              <w:t>4,60%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Aliments pour bétail</w:t>
            </w:r>
          </w:p>
        </w:tc>
        <w:tc>
          <w:tcPr>
            <w:tcW w:w="1623" w:type="dxa"/>
            <w:vAlign w:val="bottom"/>
          </w:tcPr>
          <w:p w:rsidR="00D77E1B" w:rsidRPr="007F1538" w:rsidRDefault="00D77E1B">
            <w:pPr>
              <w:jc w:val="center"/>
              <w:rPr>
                <w:rFonts w:cs="Arial"/>
                <w:lang w:val="fr-FR"/>
              </w:rPr>
            </w:pPr>
            <w:r w:rsidRPr="007F1538">
              <w:rPr>
                <w:rFonts w:cs="Arial"/>
                <w:lang w:val="fr-FR"/>
              </w:rPr>
              <w:t>3,30%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Industrie céréalière, pâtes alimentaires</w:t>
            </w:r>
          </w:p>
        </w:tc>
        <w:tc>
          <w:tcPr>
            <w:tcW w:w="1623" w:type="dxa"/>
            <w:vAlign w:val="bottom"/>
          </w:tcPr>
          <w:p w:rsidR="00D77E1B" w:rsidRPr="007F1538" w:rsidRDefault="001E6A53">
            <w:pPr>
              <w:jc w:val="center"/>
              <w:rPr>
                <w:rFonts w:cs="Arial"/>
                <w:lang w:val="fr-FR"/>
              </w:rPr>
            </w:pPr>
            <w:r w:rsidRPr="007F1538">
              <w:rPr>
                <w:rFonts w:cs="Arial"/>
                <w:lang w:val="fr-FR"/>
              </w:rPr>
              <w:t>3,1</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Industrie sucrière</w:t>
            </w:r>
          </w:p>
        </w:tc>
        <w:tc>
          <w:tcPr>
            <w:tcW w:w="1623" w:type="dxa"/>
            <w:vAlign w:val="bottom"/>
          </w:tcPr>
          <w:p w:rsidR="00D77E1B" w:rsidRPr="007F1538" w:rsidRDefault="001E6A53">
            <w:pPr>
              <w:jc w:val="center"/>
              <w:rPr>
                <w:rFonts w:cs="Arial"/>
                <w:lang w:val="fr-FR"/>
              </w:rPr>
            </w:pPr>
            <w:r w:rsidRPr="007F1538">
              <w:rPr>
                <w:rFonts w:cs="Arial"/>
                <w:lang w:val="fr-FR"/>
              </w:rPr>
              <w:t>1,3</w:t>
            </w:r>
            <w:r w:rsidR="00D77E1B" w:rsidRPr="007F1538">
              <w:rPr>
                <w:rFonts w:cs="Arial"/>
                <w:lang w:val="fr-FR"/>
              </w:rPr>
              <w:t>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Huiles et graisses animales et végétales</w:t>
            </w:r>
          </w:p>
        </w:tc>
        <w:tc>
          <w:tcPr>
            <w:tcW w:w="1623" w:type="dxa"/>
            <w:vAlign w:val="bottom"/>
          </w:tcPr>
          <w:p w:rsidR="00D77E1B" w:rsidRPr="007F1538" w:rsidRDefault="00D77E1B">
            <w:pPr>
              <w:jc w:val="center"/>
              <w:rPr>
                <w:rFonts w:cs="Arial"/>
                <w:lang w:val="fr-FR"/>
              </w:rPr>
            </w:pPr>
            <w:r w:rsidRPr="007F1538">
              <w:rPr>
                <w:rFonts w:cs="Arial"/>
                <w:lang w:val="fr-FR"/>
              </w:rPr>
              <w:t>1,20%</w:t>
            </w:r>
          </w:p>
        </w:tc>
      </w:tr>
      <w:tr w:rsidR="00D77E1B" w:rsidRPr="007F1538" w:rsidTr="00315343">
        <w:trPr>
          <w:jc w:val="center"/>
        </w:trPr>
        <w:tc>
          <w:tcPr>
            <w:tcW w:w="4542" w:type="dxa"/>
          </w:tcPr>
          <w:p w:rsidR="00D77E1B" w:rsidRPr="007F1538" w:rsidRDefault="00726EC7" w:rsidP="00690B4E">
            <w:pPr>
              <w:pStyle w:val="BodyText3"/>
              <w:tabs>
                <w:tab w:val="left" w:pos="360"/>
              </w:tabs>
              <w:rPr>
                <w:rFonts w:cs="Arial"/>
                <w:sz w:val="20"/>
                <w:szCs w:val="20"/>
                <w:lang w:val="fr-FR"/>
              </w:rPr>
            </w:pPr>
            <w:r w:rsidRPr="00726EC7">
              <w:rPr>
                <w:rFonts w:cs="Arial"/>
                <w:sz w:val="20"/>
                <w:szCs w:val="20"/>
                <w:lang w:val="fr-FR"/>
              </w:rPr>
              <w:t>Autres</w:t>
            </w:r>
          </w:p>
        </w:tc>
        <w:tc>
          <w:tcPr>
            <w:tcW w:w="1623" w:type="dxa"/>
            <w:vAlign w:val="bottom"/>
          </w:tcPr>
          <w:p w:rsidR="00D77E1B" w:rsidRPr="007F1538" w:rsidRDefault="001E6A53">
            <w:pPr>
              <w:jc w:val="center"/>
              <w:rPr>
                <w:rFonts w:cs="Arial"/>
                <w:lang w:val="fr-FR"/>
              </w:rPr>
            </w:pPr>
            <w:r w:rsidRPr="007F1538">
              <w:rPr>
                <w:rFonts w:cs="Arial"/>
                <w:lang w:val="fr-FR"/>
              </w:rPr>
              <w:t>9,0</w:t>
            </w:r>
            <w:r w:rsidR="00D77E1B" w:rsidRPr="007F1538">
              <w:rPr>
                <w:rFonts w:cs="Arial"/>
                <w:lang w:val="fr-FR"/>
              </w:rPr>
              <w:t>0%</w:t>
            </w:r>
          </w:p>
        </w:tc>
      </w:tr>
      <w:tr w:rsidR="00D77E1B" w:rsidRPr="007F1538" w:rsidTr="00315343">
        <w:trPr>
          <w:jc w:val="center"/>
        </w:trPr>
        <w:tc>
          <w:tcPr>
            <w:tcW w:w="4542" w:type="dxa"/>
            <w:tcBorders>
              <w:top w:val="single" w:sz="4" w:space="0" w:color="auto"/>
              <w:left w:val="single" w:sz="4" w:space="0" w:color="auto"/>
              <w:bottom w:val="single" w:sz="4" w:space="0" w:color="auto"/>
              <w:right w:val="single" w:sz="4" w:space="0" w:color="auto"/>
            </w:tcBorders>
            <w:vAlign w:val="center"/>
          </w:tcPr>
          <w:p w:rsidR="00D77E1B" w:rsidRPr="007F1538" w:rsidRDefault="00726EC7" w:rsidP="00690B4E">
            <w:pPr>
              <w:pStyle w:val="BodyText3"/>
              <w:tabs>
                <w:tab w:val="left" w:pos="360"/>
              </w:tabs>
              <w:rPr>
                <w:rFonts w:cs="Arial"/>
                <w:i/>
                <w:sz w:val="20"/>
                <w:szCs w:val="20"/>
                <w:lang w:val="fr-FR"/>
              </w:rPr>
            </w:pPr>
            <w:r w:rsidRPr="00726EC7">
              <w:rPr>
                <w:rFonts w:cs="Arial"/>
                <w:i/>
                <w:sz w:val="20"/>
                <w:szCs w:val="20"/>
                <w:lang w:val="fr-FR"/>
              </w:rPr>
              <w:t>Total</w:t>
            </w:r>
          </w:p>
        </w:tc>
        <w:tc>
          <w:tcPr>
            <w:tcW w:w="1623" w:type="dxa"/>
            <w:tcBorders>
              <w:top w:val="single" w:sz="4" w:space="0" w:color="auto"/>
              <w:left w:val="single" w:sz="4" w:space="0" w:color="auto"/>
              <w:bottom w:val="single" w:sz="4" w:space="0" w:color="auto"/>
              <w:right w:val="single" w:sz="4" w:space="0" w:color="auto"/>
            </w:tcBorders>
            <w:vAlign w:val="bottom"/>
          </w:tcPr>
          <w:p w:rsidR="00D77E1B" w:rsidRPr="007F1538" w:rsidRDefault="00D77E1B">
            <w:pPr>
              <w:jc w:val="center"/>
              <w:rPr>
                <w:rFonts w:cs="Arial"/>
                <w:i/>
                <w:lang w:val="fr-FR"/>
              </w:rPr>
            </w:pPr>
            <w:r w:rsidRPr="007F1538">
              <w:rPr>
                <w:rFonts w:cs="Arial"/>
                <w:i/>
                <w:lang w:val="fr-FR"/>
              </w:rPr>
              <w:t>100%</w:t>
            </w:r>
          </w:p>
          <w:p w:rsidR="00D77E1B" w:rsidRPr="007F1538" w:rsidRDefault="00D77E1B">
            <w:pPr>
              <w:jc w:val="center"/>
              <w:rPr>
                <w:rFonts w:cs="Arial"/>
                <w:i/>
                <w:lang w:val="fr-FR"/>
              </w:rPr>
            </w:pPr>
            <w:r w:rsidRPr="007F1538">
              <w:rPr>
                <w:rFonts w:cs="Arial"/>
                <w:i/>
                <w:lang w:val="fr-FR"/>
              </w:rPr>
              <w:t>(8</w:t>
            </w:r>
            <w:r w:rsidR="001E6A53" w:rsidRPr="007F1538">
              <w:rPr>
                <w:rFonts w:cs="Arial"/>
                <w:i/>
                <w:lang w:val="fr-FR"/>
              </w:rPr>
              <w:t>8</w:t>
            </w:r>
            <w:r w:rsidRPr="007F1538">
              <w:rPr>
                <w:rFonts w:cs="Arial"/>
                <w:i/>
                <w:lang w:val="fr-FR"/>
              </w:rPr>
              <w:t>.</w:t>
            </w:r>
            <w:r w:rsidR="001E6A53" w:rsidRPr="007F1538">
              <w:rPr>
                <w:rFonts w:cs="Arial"/>
                <w:i/>
                <w:lang w:val="fr-FR"/>
              </w:rPr>
              <w:t>714</w:t>
            </w:r>
            <w:r w:rsidRPr="007F1538">
              <w:rPr>
                <w:rFonts w:cs="Arial"/>
                <w:i/>
                <w:lang w:val="fr-FR"/>
              </w:rPr>
              <w:t>)</w:t>
            </w:r>
          </w:p>
        </w:tc>
      </w:tr>
    </w:tbl>
    <w:p w:rsidR="00A73AD2" w:rsidRPr="007F1538" w:rsidRDefault="00A73AD2">
      <w:pPr>
        <w:pStyle w:val="BodyText3"/>
        <w:tabs>
          <w:tab w:val="left" w:pos="360"/>
        </w:tabs>
        <w:rPr>
          <w:rFonts w:cs="Arial"/>
          <w:lang w:val="fr-FR"/>
        </w:rPr>
      </w:pPr>
    </w:p>
    <w:p w:rsidR="00A73AD2" w:rsidRPr="007F1538" w:rsidRDefault="006A03C6" w:rsidP="00962056">
      <w:pPr>
        <w:tabs>
          <w:tab w:val="left" w:pos="360"/>
        </w:tabs>
        <w:rPr>
          <w:rFonts w:cs="Arial"/>
          <w:lang w:val="fr-FR"/>
        </w:rPr>
      </w:pPr>
      <w:r w:rsidRPr="007F1538">
        <w:rPr>
          <w:rFonts w:cs="Arial"/>
          <w:lang w:val="fr-FR"/>
        </w:rPr>
        <w:br w:type="page"/>
      </w:r>
      <w:r w:rsidR="00726EC7" w:rsidRPr="00726EC7">
        <w:rPr>
          <w:rFonts w:cs="Arial"/>
          <w:lang w:val="fr-FR"/>
        </w:rPr>
        <w:lastRenderedPageBreak/>
        <w:t>Un point important requérant une attention particulière de l’IFP concerne la forte présence de PME dans le secteur alimentaire.</w:t>
      </w:r>
    </w:p>
    <w:p w:rsidR="00A73AD2" w:rsidRPr="007F1538" w:rsidRDefault="00A73AD2">
      <w:pPr>
        <w:tabs>
          <w:tab w:val="left" w:pos="360"/>
        </w:tabs>
        <w:jc w:val="both"/>
        <w:rPr>
          <w:rFonts w:cs="Arial"/>
          <w:lang w:val="fr-FR"/>
        </w:rPr>
      </w:pPr>
    </w:p>
    <w:p w:rsidR="00A73AD2" w:rsidRPr="007F1538" w:rsidRDefault="00726EC7" w:rsidP="00726EC7">
      <w:pPr>
        <w:tabs>
          <w:tab w:val="left" w:pos="360"/>
        </w:tabs>
        <w:spacing w:after="120"/>
        <w:jc w:val="both"/>
        <w:rPr>
          <w:rFonts w:cs="Arial"/>
          <w:lang w:val="fr-FR"/>
        </w:rPr>
      </w:pPr>
      <w:r w:rsidRPr="00726EC7">
        <w:rPr>
          <w:rFonts w:cs="Arial"/>
          <w:lang w:val="fr-FR"/>
        </w:rPr>
        <w:t>Tableau b :</w:t>
      </w:r>
      <w:r w:rsidR="00A73AD2" w:rsidRPr="007F1538">
        <w:rPr>
          <w:rFonts w:cs="Arial"/>
          <w:lang w:val="fr-FR"/>
        </w:rPr>
        <w:t xml:space="preserve"> </w:t>
      </w:r>
      <w:r w:rsidRPr="00726EC7">
        <w:rPr>
          <w:rFonts w:cs="Arial"/>
          <w:lang w:val="fr-FR"/>
        </w:rPr>
        <w:t>l’industrie alimentaire en fonction de la taille de l’entreprise en 2007.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1"/>
        <w:gridCol w:w="1771"/>
        <w:gridCol w:w="1677"/>
        <w:gridCol w:w="1620"/>
        <w:gridCol w:w="1980"/>
      </w:tblGrid>
      <w:tr w:rsidR="00A73AD2" w:rsidRPr="007F1538" w:rsidTr="00315343">
        <w:trPr>
          <w:jc w:val="center"/>
        </w:trPr>
        <w:tc>
          <w:tcPr>
            <w:tcW w:w="1771" w:type="dxa"/>
          </w:tcPr>
          <w:p w:rsidR="00A73AD2" w:rsidRPr="007F1538" w:rsidRDefault="00726EC7" w:rsidP="00690B4E">
            <w:pPr>
              <w:tabs>
                <w:tab w:val="left" w:pos="360"/>
              </w:tabs>
              <w:jc w:val="center"/>
              <w:rPr>
                <w:rFonts w:cs="Arial"/>
                <w:lang w:val="fr-FR"/>
              </w:rPr>
            </w:pPr>
            <w:r w:rsidRPr="00726EC7">
              <w:rPr>
                <w:rFonts w:cs="Arial"/>
                <w:lang w:val="fr-FR"/>
              </w:rPr>
              <w:t>Nombre de travailleurs par employeur</w:t>
            </w:r>
          </w:p>
        </w:tc>
        <w:tc>
          <w:tcPr>
            <w:tcW w:w="1771" w:type="dxa"/>
            <w:vAlign w:val="center"/>
          </w:tcPr>
          <w:p w:rsidR="00A73AD2" w:rsidRPr="007F1538" w:rsidRDefault="00726EC7" w:rsidP="00690B4E">
            <w:pPr>
              <w:tabs>
                <w:tab w:val="left" w:pos="360"/>
              </w:tabs>
              <w:jc w:val="center"/>
              <w:rPr>
                <w:rFonts w:cs="Arial"/>
                <w:lang w:val="fr-FR"/>
              </w:rPr>
            </w:pPr>
            <w:r w:rsidRPr="00726EC7">
              <w:rPr>
                <w:rFonts w:cs="Arial"/>
                <w:lang w:val="fr-FR"/>
              </w:rPr>
              <w:t>Nombre d’entreprises</w:t>
            </w:r>
          </w:p>
        </w:tc>
        <w:tc>
          <w:tcPr>
            <w:tcW w:w="1677" w:type="dxa"/>
            <w:vAlign w:val="center"/>
          </w:tcPr>
          <w:p w:rsidR="00A73AD2" w:rsidRPr="007F1538" w:rsidRDefault="00A71705" w:rsidP="00690B4E">
            <w:pPr>
              <w:tabs>
                <w:tab w:val="left" w:pos="360"/>
              </w:tabs>
              <w:jc w:val="center"/>
              <w:rPr>
                <w:rFonts w:cs="Arial"/>
                <w:lang w:val="fr-FR"/>
              </w:rPr>
            </w:pPr>
            <w:r w:rsidRPr="007F1538">
              <w:rPr>
                <w:rFonts w:cs="Arial"/>
                <w:lang w:val="fr-FR"/>
              </w:rPr>
              <w:t xml:space="preserve"> </w:t>
            </w:r>
            <w:r w:rsidR="00726EC7" w:rsidRPr="00726EC7">
              <w:rPr>
                <w:rFonts w:cs="Arial"/>
                <w:lang w:val="fr-FR"/>
              </w:rPr>
              <w:t>% entreprises</w:t>
            </w:r>
          </w:p>
        </w:tc>
        <w:tc>
          <w:tcPr>
            <w:tcW w:w="1620" w:type="dxa"/>
            <w:vAlign w:val="center"/>
          </w:tcPr>
          <w:p w:rsidR="00A73AD2" w:rsidRPr="007F1538" w:rsidRDefault="00726EC7" w:rsidP="00690B4E">
            <w:pPr>
              <w:tabs>
                <w:tab w:val="left" w:pos="360"/>
              </w:tabs>
              <w:jc w:val="center"/>
              <w:rPr>
                <w:rFonts w:cs="Arial"/>
                <w:lang w:val="fr-FR"/>
              </w:rPr>
            </w:pPr>
            <w:r w:rsidRPr="00726EC7">
              <w:rPr>
                <w:rFonts w:cs="Arial"/>
                <w:lang w:val="fr-FR"/>
              </w:rPr>
              <w:t>Nombre de travailleurs</w:t>
            </w:r>
          </w:p>
        </w:tc>
        <w:tc>
          <w:tcPr>
            <w:tcW w:w="1980" w:type="dxa"/>
            <w:vAlign w:val="center"/>
          </w:tcPr>
          <w:p w:rsidR="00A73AD2" w:rsidRPr="007F1538" w:rsidRDefault="00A71705" w:rsidP="00690B4E">
            <w:pPr>
              <w:tabs>
                <w:tab w:val="left" w:pos="360"/>
              </w:tabs>
              <w:jc w:val="center"/>
              <w:rPr>
                <w:rFonts w:cs="Arial"/>
                <w:lang w:val="fr-FR"/>
              </w:rPr>
            </w:pPr>
            <w:r w:rsidRPr="007F1538">
              <w:rPr>
                <w:rFonts w:cs="Arial"/>
                <w:lang w:val="fr-FR"/>
              </w:rPr>
              <w:t xml:space="preserve"> </w:t>
            </w:r>
            <w:r w:rsidR="00726EC7" w:rsidRPr="00726EC7">
              <w:rPr>
                <w:rFonts w:cs="Arial"/>
                <w:lang w:val="fr-FR"/>
              </w:rPr>
              <w:t>% travailleurs</w:t>
            </w:r>
          </w:p>
        </w:tc>
      </w:tr>
      <w:tr w:rsidR="001E6A53" w:rsidRPr="007F1538" w:rsidTr="00315343">
        <w:trPr>
          <w:jc w:val="center"/>
        </w:trPr>
        <w:tc>
          <w:tcPr>
            <w:tcW w:w="1771" w:type="dxa"/>
          </w:tcPr>
          <w:p w:rsidR="001E6A53" w:rsidRPr="007F1538" w:rsidRDefault="001E6A53">
            <w:pPr>
              <w:tabs>
                <w:tab w:val="left" w:pos="360"/>
              </w:tabs>
              <w:jc w:val="center"/>
              <w:rPr>
                <w:rFonts w:cs="Arial"/>
                <w:lang w:val="fr-FR"/>
              </w:rPr>
            </w:pPr>
            <w:r w:rsidRPr="007F1538">
              <w:rPr>
                <w:rFonts w:cs="Arial"/>
                <w:lang w:val="fr-FR"/>
              </w:rPr>
              <w:t>&lt; 10</w:t>
            </w:r>
          </w:p>
        </w:tc>
        <w:tc>
          <w:tcPr>
            <w:tcW w:w="1771" w:type="dxa"/>
            <w:vAlign w:val="bottom"/>
          </w:tcPr>
          <w:p w:rsidR="001E6A53" w:rsidRPr="007F1538" w:rsidRDefault="001E6A53">
            <w:pPr>
              <w:jc w:val="center"/>
              <w:rPr>
                <w:rFonts w:cs="Arial"/>
                <w:lang w:val="fr-FR"/>
              </w:rPr>
            </w:pPr>
            <w:r w:rsidRPr="007F1538">
              <w:rPr>
                <w:rFonts w:cs="Arial"/>
                <w:lang w:val="fr-FR"/>
              </w:rPr>
              <w:t>4.392</w:t>
            </w:r>
          </w:p>
        </w:tc>
        <w:tc>
          <w:tcPr>
            <w:tcW w:w="1677" w:type="dxa"/>
            <w:vAlign w:val="bottom"/>
          </w:tcPr>
          <w:p w:rsidR="001E6A53" w:rsidRPr="007F1538" w:rsidRDefault="001E6A53">
            <w:pPr>
              <w:jc w:val="center"/>
              <w:rPr>
                <w:rFonts w:cs="Arial"/>
                <w:lang w:val="fr-FR"/>
              </w:rPr>
            </w:pPr>
            <w:r w:rsidRPr="007F1538">
              <w:rPr>
                <w:rFonts w:cs="Arial"/>
                <w:lang w:val="fr-FR"/>
              </w:rPr>
              <w:t>76,62%</w:t>
            </w:r>
          </w:p>
        </w:tc>
        <w:tc>
          <w:tcPr>
            <w:tcW w:w="1620" w:type="dxa"/>
            <w:vAlign w:val="bottom"/>
          </w:tcPr>
          <w:p w:rsidR="001E6A53" w:rsidRPr="007F1538" w:rsidRDefault="001E6A53">
            <w:pPr>
              <w:jc w:val="center"/>
              <w:rPr>
                <w:rFonts w:cs="Arial"/>
                <w:lang w:val="fr-FR"/>
              </w:rPr>
            </w:pPr>
            <w:r w:rsidRPr="007F1538">
              <w:rPr>
                <w:rFonts w:cs="Arial"/>
                <w:lang w:val="fr-FR"/>
              </w:rPr>
              <w:t>14.658</w:t>
            </w:r>
          </w:p>
        </w:tc>
        <w:tc>
          <w:tcPr>
            <w:tcW w:w="1980" w:type="dxa"/>
            <w:vAlign w:val="bottom"/>
          </w:tcPr>
          <w:p w:rsidR="001E6A53" w:rsidRPr="007F1538" w:rsidRDefault="001E6A53">
            <w:pPr>
              <w:jc w:val="center"/>
              <w:rPr>
                <w:rFonts w:cs="Arial"/>
                <w:lang w:val="fr-FR"/>
              </w:rPr>
            </w:pPr>
            <w:r w:rsidRPr="007F1538">
              <w:rPr>
                <w:rFonts w:cs="Arial"/>
                <w:lang w:val="fr-FR"/>
              </w:rPr>
              <w:t>16,52%</w:t>
            </w:r>
          </w:p>
        </w:tc>
      </w:tr>
      <w:tr w:rsidR="001E6A53" w:rsidRPr="007F1538" w:rsidTr="00315343">
        <w:trPr>
          <w:jc w:val="center"/>
        </w:trPr>
        <w:tc>
          <w:tcPr>
            <w:tcW w:w="1771" w:type="dxa"/>
          </w:tcPr>
          <w:p w:rsidR="001E6A53" w:rsidRPr="007F1538" w:rsidRDefault="001E6A53">
            <w:pPr>
              <w:tabs>
                <w:tab w:val="left" w:pos="360"/>
              </w:tabs>
              <w:jc w:val="center"/>
              <w:rPr>
                <w:rFonts w:cs="Arial"/>
                <w:lang w:val="fr-FR"/>
              </w:rPr>
            </w:pPr>
            <w:r w:rsidRPr="007F1538">
              <w:rPr>
                <w:rFonts w:cs="Arial"/>
                <w:lang w:val="fr-FR"/>
              </w:rPr>
              <w:t>10 – 49</w:t>
            </w:r>
          </w:p>
        </w:tc>
        <w:tc>
          <w:tcPr>
            <w:tcW w:w="1771" w:type="dxa"/>
            <w:vAlign w:val="bottom"/>
          </w:tcPr>
          <w:p w:rsidR="001E6A53" w:rsidRPr="007F1538" w:rsidRDefault="001E6A53">
            <w:pPr>
              <w:jc w:val="center"/>
              <w:rPr>
                <w:rFonts w:cs="Arial"/>
                <w:lang w:val="fr-FR"/>
              </w:rPr>
            </w:pPr>
            <w:r w:rsidRPr="007F1538">
              <w:rPr>
                <w:rFonts w:cs="Arial"/>
                <w:lang w:val="fr-FR"/>
              </w:rPr>
              <w:t>1.018</w:t>
            </w:r>
          </w:p>
        </w:tc>
        <w:tc>
          <w:tcPr>
            <w:tcW w:w="1677" w:type="dxa"/>
            <w:vAlign w:val="bottom"/>
          </w:tcPr>
          <w:p w:rsidR="001E6A53" w:rsidRPr="007F1538" w:rsidRDefault="001E6A53">
            <w:pPr>
              <w:jc w:val="center"/>
              <w:rPr>
                <w:rFonts w:cs="Arial"/>
                <w:lang w:val="fr-FR"/>
              </w:rPr>
            </w:pPr>
            <w:r w:rsidRPr="007F1538">
              <w:rPr>
                <w:rFonts w:cs="Arial"/>
                <w:lang w:val="fr-FR"/>
              </w:rPr>
              <w:t>17,76%</w:t>
            </w:r>
          </w:p>
        </w:tc>
        <w:tc>
          <w:tcPr>
            <w:tcW w:w="1620" w:type="dxa"/>
            <w:vAlign w:val="bottom"/>
          </w:tcPr>
          <w:p w:rsidR="001E6A53" w:rsidRPr="007F1538" w:rsidRDefault="001E6A53">
            <w:pPr>
              <w:jc w:val="center"/>
              <w:rPr>
                <w:rFonts w:cs="Arial"/>
                <w:lang w:val="fr-FR"/>
              </w:rPr>
            </w:pPr>
            <w:r w:rsidRPr="007F1538">
              <w:rPr>
                <w:rFonts w:cs="Arial"/>
                <w:lang w:val="fr-FR"/>
              </w:rPr>
              <w:t>21.337</w:t>
            </w:r>
          </w:p>
        </w:tc>
        <w:tc>
          <w:tcPr>
            <w:tcW w:w="1980" w:type="dxa"/>
            <w:vAlign w:val="bottom"/>
          </w:tcPr>
          <w:p w:rsidR="001E6A53" w:rsidRPr="007F1538" w:rsidRDefault="001E6A53">
            <w:pPr>
              <w:jc w:val="center"/>
              <w:rPr>
                <w:rFonts w:cs="Arial"/>
                <w:lang w:val="fr-FR"/>
              </w:rPr>
            </w:pPr>
            <w:r w:rsidRPr="007F1538">
              <w:rPr>
                <w:rFonts w:cs="Arial"/>
                <w:lang w:val="fr-FR"/>
              </w:rPr>
              <w:t>24,05%</w:t>
            </w:r>
          </w:p>
        </w:tc>
      </w:tr>
      <w:tr w:rsidR="001E6A53" w:rsidRPr="007F1538" w:rsidTr="00315343">
        <w:trPr>
          <w:jc w:val="center"/>
        </w:trPr>
        <w:tc>
          <w:tcPr>
            <w:tcW w:w="1771" w:type="dxa"/>
          </w:tcPr>
          <w:p w:rsidR="001E6A53" w:rsidRPr="007F1538" w:rsidRDefault="001E6A53">
            <w:pPr>
              <w:tabs>
                <w:tab w:val="left" w:pos="360"/>
              </w:tabs>
              <w:jc w:val="center"/>
              <w:rPr>
                <w:rFonts w:cs="Arial"/>
                <w:lang w:val="fr-FR"/>
              </w:rPr>
            </w:pPr>
            <w:r w:rsidRPr="007F1538">
              <w:rPr>
                <w:rFonts w:cs="Arial"/>
                <w:lang w:val="fr-FR"/>
              </w:rPr>
              <w:t>50 – 99</w:t>
            </w:r>
          </w:p>
        </w:tc>
        <w:tc>
          <w:tcPr>
            <w:tcW w:w="1771" w:type="dxa"/>
            <w:vAlign w:val="bottom"/>
          </w:tcPr>
          <w:p w:rsidR="001E6A53" w:rsidRPr="007F1538" w:rsidRDefault="001E6A53">
            <w:pPr>
              <w:jc w:val="center"/>
              <w:rPr>
                <w:rFonts w:cs="Arial"/>
                <w:lang w:val="fr-FR"/>
              </w:rPr>
            </w:pPr>
            <w:r w:rsidRPr="007F1538">
              <w:rPr>
                <w:rFonts w:cs="Arial"/>
                <w:lang w:val="fr-FR"/>
              </w:rPr>
              <w:t>140</w:t>
            </w:r>
          </w:p>
        </w:tc>
        <w:tc>
          <w:tcPr>
            <w:tcW w:w="1677" w:type="dxa"/>
            <w:vAlign w:val="bottom"/>
          </w:tcPr>
          <w:p w:rsidR="001E6A53" w:rsidRPr="007F1538" w:rsidRDefault="001E6A53">
            <w:pPr>
              <w:jc w:val="center"/>
              <w:rPr>
                <w:rFonts w:cs="Arial"/>
                <w:lang w:val="fr-FR"/>
              </w:rPr>
            </w:pPr>
            <w:r w:rsidRPr="007F1538">
              <w:rPr>
                <w:rFonts w:cs="Arial"/>
                <w:lang w:val="fr-FR"/>
              </w:rPr>
              <w:t>2,44%</w:t>
            </w:r>
          </w:p>
        </w:tc>
        <w:tc>
          <w:tcPr>
            <w:tcW w:w="1620" w:type="dxa"/>
            <w:vAlign w:val="bottom"/>
          </w:tcPr>
          <w:p w:rsidR="001E6A53" w:rsidRPr="007F1538" w:rsidRDefault="001E6A53">
            <w:pPr>
              <w:jc w:val="center"/>
              <w:rPr>
                <w:rFonts w:cs="Arial"/>
                <w:lang w:val="fr-FR"/>
              </w:rPr>
            </w:pPr>
            <w:r w:rsidRPr="007F1538">
              <w:rPr>
                <w:rFonts w:cs="Arial"/>
                <w:lang w:val="fr-FR"/>
              </w:rPr>
              <w:t>9.886</w:t>
            </w:r>
          </w:p>
        </w:tc>
        <w:tc>
          <w:tcPr>
            <w:tcW w:w="1980" w:type="dxa"/>
            <w:vAlign w:val="bottom"/>
          </w:tcPr>
          <w:p w:rsidR="001E6A53" w:rsidRPr="007F1538" w:rsidRDefault="001E6A53">
            <w:pPr>
              <w:jc w:val="center"/>
              <w:rPr>
                <w:rFonts w:cs="Arial"/>
                <w:lang w:val="fr-FR"/>
              </w:rPr>
            </w:pPr>
            <w:r w:rsidRPr="007F1538">
              <w:rPr>
                <w:rFonts w:cs="Arial"/>
                <w:lang w:val="fr-FR"/>
              </w:rPr>
              <w:t>11,14%</w:t>
            </w:r>
          </w:p>
        </w:tc>
      </w:tr>
      <w:tr w:rsidR="001E6A53" w:rsidRPr="007F1538" w:rsidTr="00315343">
        <w:trPr>
          <w:jc w:val="center"/>
        </w:trPr>
        <w:tc>
          <w:tcPr>
            <w:tcW w:w="1771" w:type="dxa"/>
          </w:tcPr>
          <w:p w:rsidR="001E6A53" w:rsidRPr="007F1538" w:rsidRDefault="00726EC7" w:rsidP="00690B4E">
            <w:pPr>
              <w:tabs>
                <w:tab w:val="left" w:pos="360"/>
              </w:tabs>
              <w:jc w:val="center"/>
              <w:rPr>
                <w:rFonts w:cs="Arial"/>
                <w:lang w:val="fr-FR"/>
              </w:rPr>
            </w:pPr>
            <w:r w:rsidRPr="00726EC7">
              <w:rPr>
                <w:rFonts w:cs="Arial"/>
                <w:lang w:val="fr-FR"/>
              </w:rPr>
              <w:t>100 et +</w:t>
            </w:r>
          </w:p>
        </w:tc>
        <w:tc>
          <w:tcPr>
            <w:tcW w:w="1771" w:type="dxa"/>
            <w:vAlign w:val="bottom"/>
          </w:tcPr>
          <w:p w:rsidR="001E6A53" w:rsidRPr="007F1538" w:rsidRDefault="001E6A53">
            <w:pPr>
              <w:jc w:val="center"/>
              <w:rPr>
                <w:rFonts w:cs="Arial"/>
                <w:lang w:val="fr-FR"/>
              </w:rPr>
            </w:pPr>
            <w:r w:rsidRPr="007F1538">
              <w:rPr>
                <w:rFonts w:cs="Arial"/>
                <w:lang w:val="fr-FR"/>
              </w:rPr>
              <w:t>182</w:t>
            </w:r>
          </w:p>
        </w:tc>
        <w:tc>
          <w:tcPr>
            <w:tcW w:w="1677" w:type="dxa"/>
            <w:vAlign w:val="bottom"/>
          </w:tcPr>
          <w:p w:rsidR="001E6A53" w:rsidRPr="007F1538" w:rsidRDefault="001E6A53">
            <w:pPr>
              <w:jc w:val="center"/>
              <w:rPr>
                <w:rFonts w:cs="Arial"/>
                <w:lang w:val="fr-FR"/>
              </w:rPr>
            </w:pPr>
            <w:r w:rsidRPr="007F1538">
              <w:rPr>
                <w:rFonts w:cs="Arial"/>
                <w:lang w:val="fr-FR"/>
              </w:rPr>
              <w:t>3,18%</w:t>
            </w:r>
          </w:p>
        </w:tc>
        <w:tc>
          <w:tcPr>
            <w:tcW w:w="1620" w:type="dxa"/>
            <w:vAlign w:val="bottom"/>
          </w:tcPr>
          <w:p w:rsidR="001E6A53" w:rsidRPr="007F1538" w:rsidRDefault="001E6A53">
            <w:pPr>
              <w:jc w:val="center"/>
              <w:rPr>
                <w:rFonts w:cs="Arial"/>
                <w:lang w:val="fr-FR"/>
              </w:rPr>
            </w:pPr>
            <w:r w:rsidRPr="007F1538">
              <w:rPr>
                <w:rFonts w:cs="Arial"/>
                <w:lang w:val="fr-FR"/>
              </w:rPr>
              <w:t>42.834</w:t>
            </w:r>
          </w:p>
        </w:tc>
        <w:tc>
          <w:tcPr>
            <w:tcW w:w="1980" w:type="dxa"/>
            <w:vAlign w:val="bottom"/>
          </w:tcPr>
          <w:p w:rsidR="001E6A53" w:rsidRPr="007F1538" w:rsidRDefault="001E6A53">
            <w:pPr>
              <w:jc w:val="center"/>
              <w:rPr>
                <w:rFonts w:cs="Arial"/>
                <w:lang w:val="fr-FR"/>
              </w:rPr>
            </w:pPr>
            <w:r w:rsidRPr="007F1538">
              <w:rPr>
                <w:rFonts w:cs="Arial"/>
                <w:lang w:val="fr-FR"/>
              </w:rPr>
              <w:t>48,28%</w:t>
            </w:r>
          </w:p>
        </w:tc>
      </w:tr>
      <w:tr w:rsidR="001E6A53" w:rsidRPr="007F1538" w:rsidTr="00315343">
        <w:trPr>
          <w:jc w:val="center"/>
        </w:trPr>
        <w:tc>
          <w:tcPr>
            <w:tcW w:w="1771" w:type="dxa"/>
          </w:tcPr>
          <w:p w:rsidR="001E6A53" w:rsidRPr="007F1538" w:rsidRDefault="00726EC7" w:rsidP="00690B4E">
            <w:pPr>
              <w:tabs>
                <w:tab w:val="left" w:pos="360"/>
              </w:tabs>
              <w:jc w:val="center"/>
              <w:rPr>
                <w:rFonts w:cs="Arial"/>
                <w:i/>
                <w:lang w:val="fr-FR"/>
              </w:rPr>
            </w:pPr>
            <w:r w:rsidRPr="00726EC7">
              <w:rPr>
                <w:rFonts w:cs="Arial"/>
                <w:i/>
                <w:lang w:val="fr-FR"/>
              </w:rPr>
              <w:t>Total</w:t>
            </w:r>
          </w:p>
        </w:tc>
        <w:tc>
          <w:tcPr>
            <w:tcW w:w="1771" w:type="dxa"/>
            <w:vAlign w:val="bottom"/>
          </w:tcPr>
          <w:p w:rsidR="001E6A53" w:rsidRPr="007F1538" w:rsidRDefault="001E6A53">
            <w:pPr>
              <w:jc w:val="center"/>
              <w:rPr>
                <w:rFonts w:cs="Arial"/>
                <w:i/>
                <w:lang w:val="fr-FR"/>
              </w:rPr>
            </w:pPr>
            <w:r w:rsidRPr="007F1538">
              <w:rPr>
                <w:rFonts w:cs="Arial"/>
                <w:i/>
                <w:lang w:val="fr-FR"/>
              </w:rPr>
              <w:t>5.732</w:t>
            </w:r>
          </w:p>
        </w:tc>
        <w:tc>
          <w:tcPr>
            <w:tcW w:w="1677" w:type="dxa"/>
            <w:vAlign w:val="bottom"/>
          </w:tcPr>
          <w:p w:rsidR="001E6A53" w:rsidRPr="007F1538" w:rsidRDefault="001E6A53">
            <w:pPr>
              <w:jc w:val="center"/>
              <w:rPr>
                <w:rFonts w:cs="Arial"/>
                <w:i/>
                <w:lang w:val="fr-FR"/>
              </w:rPr>
            </w:pPr>
            <w:r w:rsidRPr="007F1538">
              <w:rPr>
                <w:rFonts w:cs="Arial"/>
                <w:i/>
                <w:lang w:val="fr-FR"/>
              </w:rPr>
              <w:t>100%</w:t>
            </w:r>
          </w:p>
        </w:tc>
        <w:tc>
          <w:tcPr>
            <w:tcW w:w="1620" w:type="dxa"/>
            <w:vAlign w:val="bottom"/>
          </w:tcPr>
          <w:p w:rsidR="001E6A53" w:rsidRPr="007F1538" w:rsidRDefault="001E6A53">
            <w:pPr>
              <w:jc w:val="center"/>
              <w:rPr>
                <w:rFonts w:cs="Arial"/>
                <w:i/>
                <w:lang w:val="fr-FR"/>
              </w:rPr>
            </w:pPr>
            <w:r w:rsidRPr="007F1538">
              <w:rPr>
                <w:rFonts w:cs="Arial"/>
                <w:i/>
                <w:lang w:val="fr-FR"/>
              </w:rPr>
              <w:t>88.715</w:t>
            </w:r>
          </w:p>
        </w:tc>
        <w:tc>
          <w:tcPr>
            <w:tcW w:w="1980" w:type="dxa"/>
            <w:vAlign w:val="bottom"/>
          </w:tcPr>
          <w:p w:rsidR="001E6A53" w:rsidRPr="007F1538" w:rsidRDefault="001E6A53">
            <w:pPr>
              <w:jc w:val="center"/>
              <w:rPr>
                <w:rFonts w:cs="Arial"/>
                <w:i/>
                <w:lang w:val="fr-FR"/>
              </w:rPr>
            </w:pPr>
            <w:r w:rsidRPr="007F1538">
              <w:rPr>
                <w:rFonts w:cs="Arial"/>
                <w:i/>
                <w:lang w:val="fr-FR"/>
              </w:rPr>
              <w:t>100%</w:t>
            </w:r>
          </w:p>
        </w:tc>
      </w:tr>
    </w:tbl>
    <w:p w:rsidR="00962056" w:rsidRPr="007F1538" w:rsidRDefault="00962056">
      <w:pPr>
        <w:rPr>
          <w:rFonts w:cs="Arial"/>
          <w:color w:val="000000"/>
          <w:lang w:val="fr-FR"/>
        </w:rPr>
      </w:pPr>
    </w:p>
    <w:p w:rsidR="00A73AD2" w:rsidRPr="007F1538" w:rsidRDefault="00726EC7">
      <w:pPr>
        <w:rPr>
          <w:rFonts w:cs="Arial"/>
          <w:color w:val="000000"/>
          <w:lang w:val="fr-FR"/>
        </w:rPr>
      </w:pPr>
      <w:r w:rsidRPr="00726EC7">
        <w:rPr>
          <w:rFonts w:cs="Arial"/>
          <w:color w:val="000000"/>
          <w:lang w:val="fr-FR"/>
        </w:rPr>
        <w:t>La proportion ouvriers/employés au sein du secteur correspond à environ deux tiers/un tiers.</w:t>
      </w:r>
      <w:r w:rsidR="00A73AD2" w:rsidRPr="007F1538">
        <w:rPr>
          <w:rFonts w:cs="Arial"/>
          <w:color w:val="000000"/>
          <w:lang w:val="fr-FR"/>
        </w:rPr>
        <w:t xml:space="preserve"> </w:t>
      </w:r>
      <w:r w:rsidRPr="00726EC7">
        <w:rPr>
          <w:rFonts w:cs="Arial"/>
          <w:color w:val="000000"/>
          <w:lang w:val="fr-FR"/>
        </w:rPr>
        <w:t>Il en va de même pour le rapport hommes/femmes.</w:t>
      </w:r>
      <w:r w:rsidR="00A73AD2" w:rsidRPr="007F1538">
        <w:rPr>
          <w:rFonts w:cs="Arial"/>
          <w:color w:val="000000"/>
          <w:lang w:val="fr-FR"/>
        </w:rPr>
        <w:t xml:space="preserve"> </w:t>
      </w:r>
    </w:p>
    <w:p w:rsidR="00A73AD2" w:rsidRPr="007F1538" w:rsidRDefault="00A73AD2">
      <w:pPr>
        <w:rPr>
          <w:rFonts w:cs="Arial"/>
          <w:color w:val="000000"/>
          <w:lang w:val="fr-FR"/>
        </w:rPr>
      </w:pPr>
    </w:p>
    <w:p w:rsidR="00A73AD2" w:rsidRPr="007F1538" w:rsidRDefault="00726EC7" w:rsidP="00726EC7">
      <w:pPr>
        <w:spacing w:after="120"/>
        <w:rPr>
          <w:rFonts w:cs="Arial"/>
          <w:color w:val="000000"/>
          <w:lang w:val="fr-FR"/>
        </w:rPr>
      </w:pPr>
      <w:r w:rsidRPr="00726EC7">
        <w:rPr>
          <w:rFonts w:cs="Arial"/>
          <w:color w:val="000000"/>
          <w:lang w:val="fr-FR"/>
        </w:rPr>
        <w:t>Tableau c :</w:t>
      </w:r>
      <w:r w:rsidR="00A73AD2" w:rsidRPr="007F1538">
        <w:rPr>
          <w:rFonts w:cs="Arial"/>
          <w:color w:val="000000"/>
          <w:lang w:val="fr-FR"/>
        </w:rPr>
        <w:t xml:space="preserve"> </w:t>
      </w:r>
      <w:r w:rsidRPr="00726EC7">
        <w:rPr>
          <w:rFonts w:cs="Arial"/>
          <w:color w:val="000000"/>
          <w:lang w:val="fr-FR"/>
        </w:rPr>
        <w:t>les travailleurs de l’industrie alimentaire en fonction du statut et du sexe.</w:t>
      </w:r>
    </w:p>
    <w:tbl>
      <w:tblPr>
        <w:tblW w:w="5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0"/>
        <w:gridCol w:w="1360"/>
        <w:gridCol w:w="1240"/>
        <w:gridCol w:w="994"/>
        <w:gridCol w:w="968"/>
      </w:tblGrid>
      <w:tr w:rsidR="005370EC" w:rsidRPr="007F1538" w:rsidTr="00726EC7">
        <w:trPr>
          <w:jc w:val="center"/>
        </w:trPr>
        <w:tc>
          <w:tcPr>
            <w:tcW w:w="1360" w:type="dxa"/>
            <w:noWrap/>
          </w:tcPr>
          <w:p w:rsidR="005370EC" w:rsidRPr="007F1538" w:rsidRDefault="005370EC" w:rsidP="00AA1323">
            <w:pPr>
              <w:jc w:val="center"/>
              <w:rPr>
                <w:rFonts w:cs="Arial"/>
                <w:lang w:val="fr-FR"/>
              </w:rPr>
            </w:pPr>
            <w:r w:rsidRPr="007F1538">
              <w:rPr>
                <w:rFonts w:cs="Arial"/>
                <w:lang w:val="fr-FR"/>
              </w:rPr>
              <w:t> </w:t>
            </w:r>
          </w:p>
        </w:tc>
        <w:tc>
          <w:tcPr>
            <w:tcW w:w="1360" w:type="dxa"/>
            <w:noWrap/>
          </w:tcPr>
          <w:p w:rsidR="005370EC" w:rsidRPr="007F1538" w:rsidRDefault="00726EC7" w:rsidP="00690B4E">
            <w:pPr>
              <w:jc w:val="center"/>
              <w:rPr>
                <w:rFonts w:cs="Arial"/>
                <w:lang w:val="fr-FR"/>
              </w:rPr>
            </w:pPr>
            <w:r w:rsidRPr="00726EC7">
              <w:rPr>
                <w:rFonts w:cs="Arial"/>
                <w:lang w:val="fr-FR"/>
              </w:rPr>
              <w:t>Ouvrier</w:t>
            </w:r>
          </w:p>
        </w:tc>
        <w:tc>
          <w:tcPr>
            <w:tcW w:w="1240" w:type="dxa"/>
            <w:noWrap/>
          </w:tcPr>
          <w:p w:rsidR="005370EC" w:rsidRPr="007F1538" w:rsidRDefault="00726EC7" w:rsidP="00690B4E">
            <w:pPr>
              <w:jc w:val="center"/>
              <w:rPr>
                <w:rFonts w:cs="Arial"/>
                <w:lang w:val="fr-FR"/>
              </w:rPr>
            </w:pPr>
            <w:r w:rsidRPr="00726EC7">
              <w:rPr>
                <w:rFonts w:cs="Arial"/>
                <w:lang w:val="fr-FR"/>
              </w:rPr>
              <w:t>Employé</w:t>
            </w:r>
          </w:p>
        </w:tc>
        <w:tc>
          <w:tcPr>
            <w:tcW w:w="1962" w:type="dxa"/>
            <w:gridSpan w:val="2"/>
            <w:noWrap/>
          </w:tcPr>
          <w:p w:rsidR="005370EC" w:rsidRPr="007F1538" w:rsidRDefault="00726EC7" w:rsidP="00AA1323">
            <w:pPr>
              <w:jc w:val="center"/>
              <w:rPr>
                <w:rFonts w:cs="Arial"/>
                <w:i/>
                <w:lang w:val="fr-FR"/>
              </w:rPr>
            </w:pPr>
            <w:r w:rsidRPr="00726EC7">
              <w:rPr>
                <w:rFonts w:cs="Arial"/>
                <w:i/>
                <w:lang w:val="fr-FR"/>
              </w:rPr>
              <w:t>Total</w:t>
            </w:r>
          </w:p>
          <w:p w:rsidR="005370EC" w:rsidRPr="007F1538" w:rsidRDefault="005370EC" w:rsidP="00AA1323">
            <w:pPr>
              <w:jc w:val="center"/>
              <w:rPr>
                <w:rFonts w:cs="Arial"/>
                <w:lang w:val="fr-FR"/>
              </w:rPr>
            </w:pPr>
            <w:r w:rsidRPr="007F1538">
              <w:rPr>
                <w:rFonts w:cs="Arial"/>
                <w:lang w:val="fr-FR"/>
              </w:rPr>
              <w:t> </w:t>
            </w:r>
          </w:p>
        </w:tc>
      </w:tr>
      <w:tr w:rsidR="001E6A53" w:rsidRPr="007F1538" w:rsidTr="00726EC7">
        <w:trPr>
          <w:jc w:val="center"/>
        </w:trPr>
        <w:tc>
          <w:tcPr>
            <w:tcW w:w="1360" w:type="dxa"/>
            <w:noWrap/>
          </w:tcPr>
          <w:p w:rsidR="001E6A53" w:rsidRPr="007F1538" w:rsidRDefault="00726EC7" w:rsidP="00690B4E">
            <w:pPr>
              <w:jc w:val="center"/>
              <w:rPr>
                <w:rFonts w:cs="Arial"/>
                <w:lang w:val="fr-FR"/>
              </w:rPr>
            </w:pPr>
            <w:r w:rsidRPr="00726EC7">
              <w:rPr>
                <w:rFonts w:cs="Arial"/>
                <w:lang w:val="fr-FR"/>
              </w:rPr>
              <w:t>Homme</w:t>
            </w:r>
          </w:p>
        </w:tc>
        <w:tc>
          <w:tcPr>
            <w:tcW w:w="1360" w:type="dxa"/>
            <w:noWrap/>
          </w:tcPr>
          <w:p w:rsidR="001E6A53" w:rsidRPr="007F1538" w:rsidRDefault="001E6A53" w:rsidP="00AA1323">
            <w:pPr>
              <w:jc w:val="center"/>
              <w:rPr>
                <w:rFonts w:cs="Arial"/>
                <w:lang w:val="fr-FR"/>
              </w:rPr>
            </w:pPr>
            <w:r w:rsidRPr="007F1538">
              <w:rPr>
                <w:rFonts w:cs="Arial"/>
                <w:lang w:val="fr-FR"/>
              </w:rPr>
              <w:t>43.546</w:t>
            </w:r>
          </w:p>
        </w:tc>
        <w:tc>
          <w:tcPr>
            <w:tcW w:w="1240" w:type="dxa"/>
            <w:noWrap/>
          </w:tcPr>
          <w:p w:rsidR="001E6A53" w:rsidRPr="007F1538" w:rsidRDefault="001E6A53" w:rsidP="00AA1323">
            <w:pPr>
              <w:jc w:val="center"/>
              <w:rPr>
                <w:rFonts w:cs="Arial"/>
                <w:lang w:val="fr-FR"/>
              </w:rPr>
            </w:pPr>
            <w:r w:rsidRPr="007F1538">
              <w:rPr>
                <w:rFonts w:cs="Arial"/>
                <w:lang w:val="fr-FR"/>
              </w:rPr>
              <w:t>12.710</w:t>
            </w:r>
          </w:p>
        </w:tc>
        <w:tc>
          <w:tcPr>
            <w:tcW w:w="994" w:type="dxa"/>
            <w:noWrap/>
          </w:tcPr>
          <w:p w:rsidR="001E6A53" w:rsidRPr="007F1538" w:rsidRDefault="001E6A53" w:rsidP="00AA1323">
            <w:pPr>
              <w:jc w:val="center"/>
              <w:rPr>
                <w:rFonts w:cs="Arial"/>
                <w:lang w:val="fr-FR"/>
              </w:rPr>
            </w:pPr>
            <w:r w:rsidRPr="007F1538">
              <w:rPr>
                <w:rFonts w:cs="Arial"/>
                <w:lang w:val="fr-FR"/>
              </w:rPr>
              <w:t>56.256</w:t>
            </w:r>
          </w:p>
        </w:tc>
        <w:tc>
          <w:tcPr>
            <w:tcW w:w="968" w:type="dxa"/>
            <w:noWrap/>
          </w:tcPr>
          <w:p w:rsidR="001E6A53" w:rsidRPr="007F1538" w:rsidRDefault="001E6A53" w:rsidP="00AA1323">
            <w:pPr>
              <w:jc w:val="center"/>
              <w:rPr>
                <w:rFonts w:cs="Arial"/>
                <w:i/>
                <w:iCs/>
                <w:lang w:val="fr-FR"/>
              </w:rPr>
            </w:pPr>
            <w:r w:rsidRPr="007F1538">
              <w:rPr>
                <w:rFonts w:cs="Arial"/>
                <w:i/>
                <w:iCs/>
                <w:lang w:val="fr-FR"/>
              </w:rPr>
              <w:t>63,41%</w:t>
            </w:r>
          </w:p>
        </w:tc>
      </w:tr>
      <w:tr w:rsidR="001E6A53" w:rsidRPr="007F1538" w:rsidTr="00726EC7">
        <w:trPr>
          <w:jc w:val="center"/>
        </w:trPr>
        <w:tc>
          <w:tcPr>
            <w:tcW w:w="1360" w:type="dxa"/>
            <w:noWrap/>
          </w:tcPr>
          <w:p w:rsidR="001E6A53" w:rsidRPr="007F1538" w:rsidRDefault="00726EC7" w:rsidP="00690B4E">
            <w:pPr>
              <w:jc w:val="center"/>
              <w:rPr>
                <w:rFonts w:cs="Arial"/>
                <w:lang w:val="fr-FR"/>
              </w:rPr>
            </w:pPr>
            <w:r w:rsidRPr="00726EC7">
              <w:rPr>
                <w:rFonts w:cs="Arial"/>
                <w:lang w:val="fr-FR"/>
              </w:rPr>
              <w:t>Femme</w:t>
            </w:r>
          </w:p>
        </w:tc>
        <w:tc>
          <w:tcPr>
            <w:tcW w:w="1360" w:type="dxa"/>
            <w:noWrap/>
          </w:tcPr>
          <w:p w:rsidR="001E6A53" w:rsidRPr="007F1538" w:rsidRDefault="001E6A53" w:rsidP="00AA1323">
            <w:pPr>
              <w:jc w:val="center"/>
              <w:rPr>
                <w:rFonts w:cs="Arial"/>
                <w:lang w:val="fr-FR"/>
              </w:rPr>
            </w:pPr>
            <w:r w:rsidRPr="007F1538">
              <w:rPr>
                <w:rFonts w:cs="Arial"/>
                <w:lang w:val="fr-FR"/>
              </w:rPr>
              <w:t>15.504</w:t>
            </w:r>
          </w:p>
        </w:tc>
        <w:tc>
          <w:tcPr>
            <w:tcW w:w="1240" w:type="dxa"/>
            <w:noWrap/>
          </w:tcPr>
          <w:p w:rsidR="001E6A53" w:rsidRPr="007F1538" w:rsidRDefault="001E6A53" w:rsidP="00AA1323">
            <w:pPr>
              <w:jc w:val="center"/>
              <w:rPr>
                <w:rFonts w:cs="Arial"/>
                <w:lang w:val="fr-FR"/>
              </w:rPr>
            </w:pPr>
            <w:r w:rsidRPr="007F1538">
              <w:rPr>
                <w:rFonts w:cs="Arial"/>
                <w:lang w:val="fr-FR"/>
              </w:rPr>
              <w:t>16.954</w:t>
            </w:r>
          </w:p>
        </w:tc>
        <w:tc>
          <w:tcPr>
            <w:tcW w:w="994" w:type="dxa"/>
            <w:noWrap/>
          </w:tcPr>
          <w:p w:rsidR="001E6A53" w:rsidRPr="007F1538" w:rsidRDefault="001E6A53" w:rsidP="00AA1323">
            <w:pPr>
              <w:jc w:val="center"/>
              <w:rPr>
                <w:rFonts w:cs="Arial"/>
                <w:lang w:val="fr-FR"/>
              </w:rPr>
            </w:pPr>
            <w:r w:rsidRPr="007F1538">
              <w:rPr>
                <w:rFonts w:cs="Arial"/>
                <w:lang w:val="fr-FR"/>
              </w:rPr>
              <w:t>32.458</w:t>
            </w:r>
          </w:p>
        </w:tc>
        <w:tc>
          <w:tcPr>
            <w:tcW w:w="968" w:type="dxa"/>
            <w:noWrap/>
          </w:tcPr>
          <w:p w:rsidR="001E6A53" w:rsidRPr="007F1538" w:rsidRDefault="001E6A53" w:rsidP="00AA1323">
            <w:pPr>
              <w:jc w:val="center"/>
              <w:rPr>
                <w:rFonts w:cs="Arial"/>
                <w:i/>
                <w:iCs/>
                <w:lang w:val="fr-FR"/>
              </w:rPr>
            </w:pPr>
            <w:r w:rsidRPr="007F1538">
              <w:rPr>
                <w:rFonts w:cs="Arial"/>
                <w:i/>
                <w:iCs/>
                <w:lang w:val="fr-FR"/>
              </w:rPr>
              <w:t>36,59%</w:t>
            </w:r>
          </w:p>
        </w:tc>
      </w:tr>
      <w:tr w:rsidR="001E6A53" w:rsidRPr="007F1538" w:rsidTr="00726EC7">
        <w:trPr>
          <w:jc w:val="center"/>
        </w:trPr>
        <w:tc>
          <w:tcPr>
            <w:tcW w:w="1360" w:type="dxa"/>
            <w:noWrap/>
          </w:tcPr>
          <w:p w:rsidR="001E6A53" w:rsidRPr="007F1538" w:rsidRDefault="00726EC7" w:rsidP="00690B4E">
            <w:pPr>
              <w:jc w:val="center"/>
              <w:rPr>
                <w:rFonts w:cs="Arial"/>
                <w:i/>
                <w:lang w:val="fr-FR"/>
              </w:rPr>
            </w:pPr>
            <w:r w:rsidRPr="00726EC7">
              <w:rPr>
                <w:rFonts w:cs="Arial"/>
                <w:i/>
                <w:lang w:val="fr-FR"/>
              </w:rPr>
              <w:t>Total</w:t>
            </w:r>
          </w:p>
        </w:tc>
        <w:tc>
          <w:tcPr>
            <w:tcW w:w="1360" w:type="dxa"/>
            <w:noWrap/>
          </w:tcPr>
          <w:p w:rsidR="001E6A53" w:rsidRPr="007F1538" w:rsidRDefault="001E6A53" w:rsidP="00AA1323">
            <w:pPr>
              <w:jc w:val="center"/>
              <w:rPr>
                <w:rFonts w:cs="Arial"/>
                <w:i/>
                <w:lang w:val="fr-FR"/>
              </w:rPr>
            </w:pPr>
            <w:r w:rsidRPr="007F1538">
              <w:rPr>
                <w:rFonts w:cs="Arial"/>
                <w:i/>
                <w:lang w:val="fr-FR"/>
              </w:rPr>
              <w:t>59.050</w:t>
            </w:r>
          </w:p>
        </w:tc>
        <w:tc>
          <w:tcPr>
            <w:tcW w:w="1240" w:type="dxa"/>
            <w:noWrap/>
          </w:tcPr>
          <w:p w:rsidR="001E6A53" w:rsidRPr="007F1538" w:rsidRDefault="001E6A53" w:rsidP="00AA1323">
            <w:pPr>
              <w:jc w:val="center"/>
              <w:rPr>
                <w:rFonts w:cs="Arial"/>
                <w:i/>
                <w:lang w:val="fr-FR"/>
              </w:rPr>
            </w:pPr>
            <w:r w:rsidRPr="007F1538">
              <w:rPr>
                <w:rFonts w:cs="Arial"/>
                <w:i/>
                <w:lang w:val="fr-FR"/>
              </w:rPr>
              <w:t>29.664</w:t>
            </w:r>
          </w:p>
        </w:tc>
        <w:tc>
          <w:tcPr>
            <w:tcW w:w="994" w:type="dxa"/>
            <w:noWrap/>
          </w:tcPr>
          <w:p w:rsidR="001E6A53" w:rsidRPr="007F1538" w:rsidRDefault="001E6A53" w:rsidP="00AA1323">
            <w:pPr>
              <w:jc w:val="center"/>
              <w:rPr>
                <w:rFonts w:cs="Arial"/>
                <w:i/>
                <w:lang w:val="fr-FR"/>
              </w:rPr>
            </w:pPr>
            <w:r w:rsidRPr="007F1538">
              <w:rPr>
                <w:rFonts w:cs="Arial"/>
                <w:i/>
                <w:lang w:val="fr-FR"/>
              </w:rPr>
              <w:t>88.714</w:t>
            </w:r>
          </w:p>
        </w:tc>
        <w:tc>
          <w:tcPr>
            <w:tcW w:w="968" w:type="dxa"/>
            <w:noWrap/>
          </w:tcPr>
          <w:p w:rsidR="001E6A53" w:rsidRPr="007F1538" w:rsidRDefault="001E6A53" w:rsidP="00AA1323">
            <w:pPr>
              <w:jc w:val="center"/>
              <w:rPr>
                <w:rFonts w:cs="Arial"/>
                <w:i/>
                <w:iCs/>
                <w:lang w:val="fr-FR"/>
              </w:rPr>
            </w:pPr>
            <w:r w:rsidRPr="007F1538">
              <w:rPr>
                <w:rFonts w:cs="Arial"/>
                <w:i/>
                <w:iCs/>
                <w:lang w:val="fr-FR"/>
              </w:rPr>
              <w:t> </w:t>
            </w:r>
          </w:p>
        </w:tc>
      </w:tr>
      <w:tr w:rsidR="001E6A53" w:rsidRPr="007F1538" w:rsidTr="00726EC7">
        <w:trPr>
          <w:jc w:val="center"/>
        </w:trPr>
        <w:tc>
          <w:tcPr>
            <w:tcW w:w="1360" w:type="dxa"/>
            <w:noWrap/>
          </w:tcPr>
          <w:p w:rsidR="001E6A53" w:rsidRPr="007F1538" w:rsidRDefault="001E6A53" w:rsidP="00AA1323">
            <w:pPr>
              <w:jc w:val="center"/>
              <w:rPr>
                <w:rFonts w:cs="Arial"/>
                <w:i/>
                <w:lang w:val="fr-FR"/>
              </w:rPr>
            </w:pPr>
            <w:r w:rsidRPr="007F1538">
              <w:rPr>
                <w:rFonts w:cs="Arial"/>
                <w:i/>
                <w:lang w:val="fr-FR"/>
              </w:rPr>
              <w:t> </w:t>
            </w:r>
          </w:p>
        </w:tc>
        <w:tc>
          <w:tcPr>
            <w:tcW w:w="1360" w:type="dxa"/>
            <w:noWrap/>
          </w:tcPr>
          <w:p w:rsidR="001E6A53" w:rsidRPr="007F1538" w:rsidRDefault="001E6A53" w:rsidP="00AA1323">
            <w:pPr>
              <w:jc w:val="center"/>
              <w:rPr>
                <w:rFonts w:cs="Arial"/>
                <w:i/>
                <w:iCs/>
                <w:lang w:val="fr-FR"/>
              </w:rPr>
            </w:pPr>
            <w:r w:rsidRPr="007F1538">
              <w:rPr>
                <w:rFonts w:cs="Arial"/>
                <w:i/>
                <w:iCs/>
                <w:lang w:val="fr-FR"/>
              </w:rPr>
              <w:t>66,56%</w:t>
            </w:r>
          </w:p>
        </w:tc>
        <w:tc>
          <w:tcPr>
            <w:tcW w:w="1240" w:type="dxa"/>
            <w:noWrap/>
          </w:tcPr>
          <w:p w:rsidR="001E6A53" w:rsidRPr="007F1538" w:rsidRDefault="001E6A53" w:rsidP="00AA1323">
            <w:pPr>
              <w:jc w:val="center"/>
              <w:rPr>
                <w:rFonts w:cs="Arial"/>
                <w:i/>
                <w:iCs/>
                <w:lang w:val="fr-FR"/>
              </w:rPr>
            </w:pPr>
            <w:r w:rsidRPr="007F1538">
              <w:rPr>
                <w:rFonts w:cs="Arial"/>
                <w:i/>
                <w:iCs/>
                <w:lang w:val="fr-FR"/>
              </w:rPr>
              <w:t>33,44%</w:t>
            </w:r>
          </w:p>
        </w:tc>
        <w:tc>
          <w:tcPr>
            <w:tcW w:w="994" w:type="dxa"/>
            <w:noWrap/>
          </w:tcPr>
          <w:p w:rsidR="001E6A53" w:rsidRPr="007F1538" w:rsidRDefault="001E6A53" w:rsidP="00AA1323">
            <w:pPr>
              <w:jc w:val="center"/>
              <w:rPr>
                <w:rFonts w:cs="Arial"/>
                <w:b/>
                <w:i/>
                <w:iCs/>
                <w:lang w:val="fr-FR"/>
              </w:rPr>
            </w:pPr>
            <w:r w:rsidRPr="007F1538">
              <w:rPr>
                <w:rFonts w:cs="Arial"/>
                <w:b/>
                <w:i/>
                <w:iCs/>
                <w:lang w:val="fr-FR"/>
              </w:rPr>
              <w:t> </w:t>
            </w:r>
          </w:p>
        </w:tc>
        <w:tc>
          <w:tcPr>
            <w:tcW w:w="968" w:type="dxa"/>
            <w:noWrap/>
          </w:tcPr>
          <w:p w:rsidR="001E6A53" w:rsidRPr="007F1538" w:rsidRDefault="001E6A53" w:rsidP="00AA1323">
            <w:pPr>
              <w:jc w:val="center"/>
              <w:rPr>
                <w:rFonts w:cs="Arial"/>
                <w:i/>
                <w:iCs/>
                <w:lang w:val="fr-FR"/>
              </w:rPr>
            </w:pPr>
            <w:r w:rsidRPr="007F1538">
              <w:rPr>
                <w:rFonts w:cs="Arial"/>
                <w:i/>
                <w:iCs/>
                <w:lang w:val="fr-FR"/>
              </w:rPr>
              <w:t>100%</w:t>
            </w:r>
          </w:p>
        </w:tc>
      </w:tr>
    </w:tbl>
    <w:p w:rsidR="00A73AD2" w:rsidRPr="007F1538" w:rsidRDefault="00A73AD2">
      <w:pPr>
        <w:jc w:val="center"/>
        <w:rPr>
          <w:rFonts w:cs="Arial"/>
          <w:lang w:val="fr-FR"/>
        </w:rPr>
      </w:pPr>
    </w:p>
    <w:p w:rsidR="00A73AD2" w:rsidRPr="007F1538" w:rsidRDefault="00726EC7">
      <w:pPr>
        <w:rPr>
          <w:rFonts w:cs="Arial"/>
          <w:lang w:val="fr-FR"/>
        </w:rPr>
      </w:pPr>
      <w:r w:rsidRPr="00726EC7">
        <w:rPr>
          <w:rFonts w:cs="Arial"/>
          <w:lang w:val="fr-FR"/>
        </w:rPr>
        <w:t>L’industrie alimentaire procure du travail à près de 29.000 personnes peu qualifiées (jusqu’au niveau secondaire inférieur inclus).</w:t>
      </w:r>
      <w:r w:rsidR="00A73AD2" w:rsidRPr="007F1538">
        <w:rPr>
          <w:rFonts w:cs="Arial"/>
          <w:lang w:val="fr-FR"/>
        </w:rPr>
        <w:t xml:space="preserve"> </w:t>
      </w:r>
      <w:r w:rsidRPr="00726EC7">
        <w:rPr>
          <w:rFonts w:cs="Arial"/>
          <w:lang w:val="fr-FR"/>
        </w:rPr>
        <w:t>Ce chiffre représente 32 % des travailleurs du secteur.</w:t>
      </w:r>
      <w:r w:rsidR="00A73AD2" w:rsidRPr="007F1538">
        <w:rPr>
          <w:rFonts w:cs="Arial"/>
          <w:lang w:val="fr-FR"/>
        </w:rPr>
        <w:t xml:space="preserve"> </w:t>
      </w:r>
      <w:r w:rsidRPr="00726EC7">
        <w:rPr>
          <w:rFonts w:cs="Arial"/>
          <w:lang w:val="fr-FR"/>
        </w:rPr>
        <w:t>Ce pourcentage est légèrement plus élevé que dans d’autres secteurs industriels.</w:t>
      </w:r>
      <w:r w:rsidR="00A73AD2" w:rsidRPr="007F1538">
        <w:rPr>
          <w:rFonts w:cs="Arial"/>
          <w:lang w:val="fr-FR"/>
        </w:rPr>
        <w:t xml:space="preserve"> </w:t>
      </w:r>
    </w:p>
    <w:p w:rsidR="00A73AD2" w:rsidRPr="007F1538" w:rsidRDefault="00A73AD2">
      <w:pPr>
        <w:rPr>
          <w:rFonts w:cs="Arial"/>
          <w:lang w:val="fr-FR"/>
        </w:rPr>
      </w:pPr>
    </w:p>
    <w:p w:rsidR="00A73AD2" w:rsidRPr="007F1538" w:rsidRDefault="00726EC7" w:rsidP="00726EC7">
      <w:pPr>
        <w:spacing w:after="120"/>
        <w:rPr>
          <w:rFonts w:cs="Arial"/>
          <w:lang w:val="fr-FR"/>
        </w:rPr>
      </w:pPr>
      <w:r w:rsidRPr="00726EC7">
        <w:rPr>
          <w:rFonts w:cs="Arial"/>
          <w:lang w:val="fr-FR"/>
        </w:rPr>
        <w:t>Tableau d :</w:t>
      </w:r>
      <w:r w:rsidR="00A73AD2" w:rsidRPr="007F1538">
        <w:rPr>
          <w:rFonts w:cs="Arial"/>
          <w:lang w:val="fr-FR"/>
        </w:rPr>
        <w:t xml:space="preserve"> </w:t>
      </w:r>
      <w:r w:rsidRPr="00726EC7">
        <w:rPr>
          <w:rFonts w:cs="Arial"/>
          <w:lang w:val="fr-FR"/>
        </w:rPr>
        <w:t>répartition des travailleurs de l’industrie alimentaire (2007) selon le niveau d’études.</w:t>
      </w:r>
    </w:p>
    <w:tbl>
      <w:tblPr>
        <w:tblW w:w="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0"/>
        <w:gridCol w:w="1678"/>
        <w:gridCol w:w="2012"/>
      </w:tblGrid>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Niveau d’études</w:t>
            </w:r>
          </w:p>
        </w:tc>
        <w:tc>
          <w:tcPr>
            <w:tcW w:w="1678" w:type="dxa"/>
            <w:vAlign w:val="bottom"/>
          </w:tcPr>
          <w:p w:rsidR="001E6A53" w:rsidRPr="007F1538" w:rsidRDefault="00726EC7" w:rsidP="00690B4E">
            <w:pPr>
              <w:jc w:val="center"/>
              <w:rPr>
                <w:rFonts w:cs="Arial"/>
                <w:lang w:val="fr-FR"/>
              </w:rPr>
            </w:pPr>
            <w:r w:rsidRPr="00726EC7">
              <w:rPr>
                <w:rFonts w:cs="Arial"/>
                <w:lang w:val="fr-FR"/>
              </w:rPr>
              <w:t>Nombre de travailleurs</w:t>
            </w:r>
          </w:p>
        </w:tc>
        <w:tc>
          <w:tcPr>
            <w:tcW w:w="2012" w:type="dxa"/>
            <w:vAlign w:val="bottom"/>
          </w:tcPr>
          <w:p w:rsidR="001E6A53" w:rsidRPr="007F1538" w:rsidRDefault="00726EC7" w:rsidP="00690B4E">
            <w:pPr>
              <w:jc w:val="center"/>
              <w:rPr>
                <w:rFonts w:cs="Arial"/>
                <w:lang w:val="fr-FR"/>
              </w:rPr>
            </w:pPr>
            <w:r w:rsidRPr="00726EC7">
              <w:rPr>
                <w:rFonts w:cs="Arial"/>
                <w:lang w:val="fr-FR"/>
              </w:rPr>
              <w:t>Pourcentage</w:t>
            </w:r>
          </w:p>
        </w:tc>
      </w:tr>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Enseignement primaire</w:t>
            </w:r>
          </w:p>
        </w:tc>
        <w:tc>
          <w:tcPr>
            <w:tcW w:w="1678" w:type="dxa"/>
            <w:vAlign w:val="bottom"/>
          </w:tcPr>
          <w:p w:rsidR="001E6A53" w:rsidRPr="007F1538" w:rsidRDefault="001E6A53" w:rsidP="00162543">
            <w:pPr>
              <w:jc w:val="center"/>
              <w:rPr>
                <w:rFonts w:cs="Arial"/>
                <w:lang w:val="fr-FR"/>
              </w:rPr>
            </w:pPr>
            <w:r w:rsidRPr="007F1538">
              <w:rPr>
                <w:rFonts w:cs="Arial"/>
                <w:lang w:val="fr-FR"/>
              </w:rPr>
              <w:t>10</w:t>
            </w:r>
            <w:r w:rsidR="00962056" w:rsidRPr="007F1538">
              <w:rPr>
                <w:rFonts w:cs="Arial"/>
                <w:lang w:val="fr-FR"/>
              </w:rPr>
              <w:t>.</w:t>
            </w:r>
            <w:r w:rsidRPr="007F1538">
              <w:rPr>
                <w:rFonts w:cs="Arial"/>
                <w:lang w:val="fr-FR"/>
              </w:rPr>
              <w:t>427</w:t>
            </w:r>
          </w:p>
        </w:tc>
        <w:tc>
          <w:tcPr>
            <w:tcW w:w="2012" w:type="dxa"/>
            <w:vAlign w:val="bottom"/>
          </w:tcPr>
          <w:p w:rsidR="001E6A53" w:rsidRPr="007F1538" w:rsidRDefault="001E6A53" w:rsidP="00162543">
            <w:pPr>
              <w:jc w:val="center"/>
              <w:rPr>
                <w:rFonts w:cs="Arial"/>
                <w:lang w:val="fr-FR"/>
              </w:rPr>
            </w:pPr>
            <w:r w:rsidRPr="007F1538">
              <w:rPr>
                <w:rFonts w:cs="Arial"/>
                <w:lang w:val="fr-FR"/>
              </w:rPr>
              <w:t>11,8%</w:t>
            </w:r>
          </w:p>
        </w:tc>
      </w:tr>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Enseignement secondaire</w:t>
            </w:r>
            <w:r w:rsidR="004833CF">
              <w:rPr>
                <w:rFonts w:cs="Arial"/>
                <w:lang w:val="fr-FR"/>
              </w:rPr>
              <w:t xml:space="preserve"> inférieur</w:t>
            </w:r>
          </w:p>
        </w:tc>
        <w:tc>
          <w:tcPr>
            <w:tcW w:w="1678" w:type="dxa"/>
            <w:vAlign w:val="bottom"/>
          </w:tcPr>
          <w:p w:rsidR="001E6A53" w:rsidRPr="007F1538" w:rsidRDefault="001E6A53" w:rsidP="00162543">
            <w:pPr>
              <w:jc w:val="center"/>
              <w:rPr>
                <w:rFonts w:cs="Arial"/>
                <w:lang w:val="fr-FR"/>
              </w:rPr>
            </w:pPr>
            <w:r w:rsidRPr="007F1538">
              <w:rPr>
                <w:rFonts w:cs="Arial"/>
                <w:lang w:val="fr-FR"/>
              </w:rPr>
              <w:t>18</w:t>
            </w:r>
            <w:r w:rsidR="00962056" w:rsidRPr="007F1538">
              <w:rPr>
                <w:rFonts w:cs="Arial"/>
                <w:lang w:val="fr-FR"/>
              </w:rPr>
              <w:t>.</w:t>
            </w:r>
            <w:r w:rsidRPr="007F1538">
              <w:rPr>
                <w:rFonts w:cs="Arial"/>
                <w:lang w:val="fr-FR"/>
              </w:rPr>
              <w:t>185</w:t>
            </w:r>
          </w:p>
        </w:tc>
        <w:tc>
          <w:tcPr>
            <w:tcW w:w="2012" w:type="dxa"/>
            <w:vAlign w:val="bottom"/>
          </w:tcPr>
          <w:p w:rsidR="001E6A53" w:rsidRPr="007F1538" w:rsidRDefault="001E6A53" w:rsidP="00162543">
            <w:pPr>
              <w:jc w:val="center"/>
              <w:rPr>
                <w:rFonts w:cs="Arial"/>
                <w:lang w:val="fr-FR"/>
              </w:rPr>
            </w:pPr>
            <w:r w:rsidRPr="007F1538">
              <w:rPr>
                <w:rFonts w:cs="Arial"/>
                <w:lang w:val="fr-FR"/>
              </w:rPr>
              <w:t>20,5%</w:t>
            </w:r>
          </w:p>
        </w:tc>
      </w:tr>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Enseignement secondaire supérieur</w:t>
            </w:r>
          </w:p>
        </w:tc>
        <w:tc>
          <w:tcPr>
            <w:tcW w:w="1678" w:type="dxa"/>
            <w:vAlign w:val="bottom"/>
          </w:tcPr>
          <w:p w:rsidR="001E6A53" w:rsidRPr="007F1538" w:rsidRDefault="001E6A53" w:rsidP="00162543">
            <w:pPr>
              <w:jc w:val="center"/>
              <w:rPr>
                <w:rFonts w:cs="Arial"/>
                <w:lang w:val="fr-FR"/>
              </w:rPr>
            </w:pPr>
            <w:r w:rsidRPr="007F1538">
              <w:rPr>
                <w:rFonts w:cs="Arial"/>
                <w:lang w:val="fr-FR"/>
              </w:rPr>
              <w:t>40</w:t>
            </w:r>
            <w:r w:rsidR="00962056" w:rsidRPr="007F1538">
              <w:rPr>
                <w:rFonts w:cs="Arial"/>
                <w:lang w:val="fr-FR"/>
              </w:rPr>
              <w:t>.</w:t>
            </w:r>
            <w:r w:rsidRPr="007F1538">
              <w:rPr>
                <w:rFonts w:cs="Arial"/>
                <w:lang w:val="fr-FR"/>
              </w:rPr>
              <w:t>061</w:t>
            </w:r>
          </w:p>
        </w:tc>
        <w:tc>
          <w:tcPr>
            <w:tcW w:w="2012" w:type="dxa"/>
            <w:vAlign w:val="bottom"/>
          </w:tcPr>
          <w:p w:rsidR="001E6A53" w:rsidRPr="007F1538" w:rsidRDefault="001E6A53" w:rsidP="00162543">
            <w:pPr>
              <w:jc w:val="center"/>
              <w:rPr>
                <w:rFonts w:cs="Arial"/>
                <w:lang w:val="fr-FR"/>
              </w:rPr>
            </w:pPr>
            <w:r w:rsidRPr="007F1538">
              <w:rPr>
                <w:rFonts w:cs="Arial"/>
                <w:lang w:val="fr-FR"/>
              </w:rPr>
              <w:t>45,2%</w:t>
            </w:r>
          </w:p>
        </w:tc>
      </w:tr>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Enseignement supérieur de type court</w:t>
            </w:r>
          </w:p>
        </w:tc>
        <w:tc>
          <w:tcPr>
            <w:tcW w:w="1678" w:type="dxa"/>
            <w:vAlign w:val="bottom"/>
          </w:tcPr>
          <w:p w:rsidR="001E6A53" w:rsidRPr="007F1538" w:rsidRDefault="001E6A53" w:rsidP="00162543">
            <w:pPr>
              <w:jc w:val="center"/>
              <w:rPr>
                <w:rFonts w:cs="Arial"/>
                <w:lang w:val="fr-FR"/>
              </w:rPr>
            </w:pPr>
            <w:r w:rsidRPr="007F1538">
              <w:rPr>
                <w:rFonts w:cs="Arial"/>
                <w:lang w:val="fr-FR"/>
              </w:rPr>
              <w:t>11</w:t>
            </w:r>
            <w:r w:rsidR="00962056" w:rsidRPr="007F1538">
              <w:rPr>
                <w:rFonts w:cs="Arial"/>
                <w:lang w:val="fr-FR"/>
              </w:rPr>
              <w:t>.</w:t>
            </w:r>
            <w:r w:rsidRPr="007F1538">
              <w:rPr>
                <w:rFonts w:cs="Arial"/>
                <w:lang w:val="fr-FR"/>
              </w:rPr>
              <w:t>614</w:t>
            </w:r>
          </w:p>
        </w:tc>
        <w:tc>
          <w:tcPr>
            <w:tcW w:w="2012" w:type="dxa"/>
            <w:vAlign w:val="bottom"/>
          </w:tcPr>
          <w:p w:rsidR="001E6A53" w:rsidRPr="007F1538" w:rsidRDefault="001E6A53" w:rsidP="00162543">
            <w:pPr>
              <w:jc w:val="center"/>
              <w:rPr>
                <w:rFonts w:cs="Arial"/>
                <w:lang w:val="fr-FR"/>
              </w:rPr>
            </w:pPr>
            <w:r w:rsidRPr="007F1538">
              <w:rPr>
                <w:rFonts w:cs="Arial"/>
                <w:lang w:val="fr-FR"/>
              </w:rPr>
              <w:t>13,1%</w:t>
            </w:r>
          </w:p>
        </w:tc>
      </w:tr>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Enseignement supérieur de type long</w:t>
            </w:r>
          </w:p>
        </w:tc>
        <w:tc>
          <w:tcPr>
            <w:tcW w:w="1678" w:type="dxa"/>
            <w:vAlign w:val="bottom"/>
          </w:tcPr>
          <w:p w:rsidR="001E6A53" w:rsidRPr="007F1538" w:rsidRDefault="001E6A53" w:rsidP="00162543">
            <w:pPr>
              <w:jc w:val="center"/>
              <w:rPr>
                <w:rFonts w:cs="Arial"/>
                <w:lang w:val="fr-FR"/>
              </w:rPr>
            </w:pPr>
            <w:r w:rsidRPr="007F1538">
              <w:rPr>
                <w:rFonts w:cs="Arial"/>
                <w:lang w:val="fr-FR"/>
              </w:rPr>
              <w:t>3</w:t>
            </w:r>
            <w:r w:rsidR="00962056" w:rsidRPr="007F1538">
              <w:rPr>
                <w:rFonts w:cs="Arial"/>
                <w:lang w:val="fr-FR"/>
              </w:rPr>
              <w:t>.</w:t>
            </w:r>
            <w:r w:rsidRPr="007F1538">
              <w:rPr>
                <w:rFonts w:cs="Arial"/>
                <w:lang w:val="fr-FR"/>
              </w:rPr>
              <w:t>242</w:t>
            </w:r>
          </w:p>
        </w:tc>
        <w:tc>
          <w:tcPr>
            <w:tcW w:w="2012" w:type="dxa"/>
            <w:vAlign w:val="bottom"/>
          </w:tcPr>
          <w:p w:rsidR="001E6A53" w:rsidRPr="007F1538" w:rsidRDefault="001E6A53" w:rsidP="00162543">
            <w:pPr>
              <w:jc w:val="center"/>
              <w:rPr>
                <w:rFonts w:cs="Arial"/>
                <w:lang w:val="fr-FR"/>
              </w:rPr>
            </w:pPr>
            <w:r w:rsidRPr="007F1538">
              <w:rPr>
                <w:rFonts w:cs="Arial"/>
                <w:lang w:val="fr-FR"/>
              </w:rPr>
              <w:t>3,7%</w:t>
            </w:r>
          </w:p>
        </w:tc>
      </w:tr>
      <w:tr w:rsidR="00726EC7" w:rsidRPr="007F1538" w:rsidTr="00315343">
        <w:trPr>
          <w:jc w:val="center"/>
        </w:trPr>
        <w:tc>
          <w:tcPr>
            <w:tcW w:w="1620" w:type="dxa"/>
            <w:vAlign w:val="bottom"/>
          </w:tcPr>
          <w:p w:rsidR="001E6A53" w:rsidRPr="007F1538" w:rsidRDefault="00726EC7" w:rsidP="00690B4E">
            <w:pPr>
              <w:jc w:val="center"/>
              <w:rPr>
                <w:rFonts w:cs="Arial"/>
                <w:lang w:val="fr-FR"/>
              </w:rPr>
            </w:pPr>
            <w:r w:rsidRPr="00726EC7">
              <w:rPr>
                <w:rFonts w:cs="Arial"/>
                <w:lang w:val="fr-FR"/>
              </w:rPr>
              <w:t>Enseignement de niveau universitaire</w:t>
            </w:r>
          </w:p>
        </w:tc>
        <w:tc>
          <w:tcPr>
            <w:tcW w:w="1678" w:type="dxa"/>
            <w:vAlign w:val="bottom"/>
          </w:tcPr>
          <w:p w:rsidR="001E6A53" w:rsidRPr="007F1538" w:rsidRDefault="001E6A53" w:rsidP="00162543">
            <w:pPr>
              <w:jc w:val="center"/>
              <w:rPr>
                <w:rFonts w:cs="Arial"/>
                <w:lang w:val="fr-FR"/>
              </w:rPr>
            </w:pPr>
            <w:r w:rsidRPr="007F1538">
              <w:rPr>
                <w:rFonts w:cs="Arial"/>
                <w:lang w:val="fr-FR"/>
              </w:rPr>
              <w:t>5</w:t>
            </w:r>
            <w:r w:rsidR="00962056" w:rsidRPr="007F1538">
              <w:rPr>
                <w:rFonts w:cs="Arial"/>
                <w:lang w:val="fr-FR"/>
              </w:rPr>
              <w:t>.</w:t>
            </w:r>
            <w:r w:rsidRPr="007F1538">
              <w:rPr>
                <w:rFonts w:cs="Arial"/>
                <w:lang w:val="fr-FR"/>
              </w:rPr>
              <w:t>184</w:t>
            </w:r>
          </w:p>
        </w:tc>
        <w:tc>
          <w:tcPr>
            <w:tcW w:w="2012" w:type="dxa"/>
            <w:vAlign w:val="bottom"/>
          </w:tcPr>
          <w:p w:rsidR="001E6A53" w:rsidRPr="007F1538" w:rsidRDefault="001E6A53" w:rsidP="00162543">
            <w:pPr>
              <w:jc w:val="center"/>
              <w:rPr>
                <w:rFonts w:cs="Arial"/>
                <w:lang w:val="fr-FR"/>
              </w:rPr>
            </w:pPr>
            <w:r w:rsidRPr="007F1538">
              <w:rPr>
                <w:rFonts w:cs="Arial"/>
                <w:lang w:val="fr-FR"/>
              </w:rPr>
              <w:t>5,8%</w:t>
            </w:r>
          </w:p>
        </w:tc>
      </w:tr>
      <w:tr w:rsidR="00726EC7" w:rsidRPr="007F1538" w:rsidTr="00315343">
        <w:trPr>
          <w:jc w:val="center"/>
        </w:trPr>
        <w:tc>
          <w:tcPr>
            <w:tcW w:w="1620" w:type="dxa"/>
            <w:vAlign w:val="bottom"/>
          </w:tcPr>
          <w:p w:rsidR="001E6A53" w:rsidRPr="007F1538" w:rsidRDefault="00726EC7" w:rsidP="00690B4E">
            <w:pPr>
              <w:jc w:val="center"/>
              <w:rPr>
                <w:rFonts w:cs="Arial"/>
                <w:i/>
                <w:lang w:val="fr-FR"/>
              </w:rPr>
            </w:pPr>
            <w:r w:rsidRPr="00726EC7">
              <w:rPr>
                <w:rFonts w:cs="Arial"/>
                <w:i/>
                <w:lang w:val="fr-FR"/>
              </w:rPr>
              <w:t>Total</w:t>
            </w:r>
          </w:p>
        </w:tc>
        <w:tc>
          <w:tcPr>
            <w:tcW w:w="1678" w:type="dxa"/>
            <w:vAlign w:val="bottom"/>
          </w:tcPr>
          <w:p w:rsidR="001E6A53" w:rsidRPr="007F1538" w:rsidRDefault="001E6A53" w:rsidP="00162543">
            <w:pPr>
              <w:jc w:val="center"/>
              <w:rPr>
                <w:rFonts w:cs="Arial"/>
                <w:i/>
                <w:lang w:val="fr-FR"/>
              </w:rPr>
            </w:pPr>
            <w:r w:rsidRPr="007F1538">
              <w:rPr>
                <w:rFonts w:cs="Arial"/>
                <w:i/>
                <w:lang w:val="fr-FR"/>
              </w:rPr>
              <w:t>88.713</w:t>
            </w:r>
          </w:p>
        </w:tc>
        <w:tc>
          <w:tcPr>
            <w:tcW w:w="2012" w:type="dxa"/>
            <w:vAlign w:val="bottom"/>
          </w:tcPr>
          <w:p w:rsidR="001E6A53" w:rsidRPr="007F1538" w:rsidRDefault="001E6A53" w:rsidP="00162543">
            <w:pPr>
              <w:jc w:val="center"/>
              <w:rPr>
                <w:rFonts w:cs="Arial"/>
                <w:i/>
                <w:lang w:val="fr-FR"/>
              </w:rPr>
            </w:pPr>
            <w:r w:rsidRPr="007F1538">
              <w:rPr>
                <w:rFonts w:cs="Arial"/>
                <w:i/>
                <w:lang w:val="fr-FR"/>
              </w:rPr>
              <w:t>100,0%</w:t>
            </w:r>
          </w:p>
        </w:tc>
      </w:tr>
    </w:tbl>
    <w:p w:rsidR="00A73AD2" w:rsidRPr="007F1538" w:rsidRDefault="00A73AD2">
      <w:pPr>
        <w:jc w:val="both"/>
        <w:rPr>
          <w:rFonts w:cs="Arial"/>
          <w:lang w:val="fr-FR"/>
        </w:rPr>
      </w:pPr>
    </w:p>
    <w:p w:rsidR="00A73AD2" w:rsidRPr="007F1538" w:rsidRDefault="00726EC7">
      <w:pPr>
        <w:rPr>
          <w:rFonts w:cs="Arial"/>
          <w:lang w:val="fr-FR"/>
        </w:rPr>
      </w:pPr>
      <w:r w:rsidRPr="00726EC7">
        <w:rPr>
          <w:rFonts w:cs="Arial"/>
          <w:lang w:val="fr-FR"/>
        </w:rPr>
        <w:t>Près des trois quarts des travailleurs de l’industrie alimentaire sont âgés de moins de 45 ans.</w:t>
      </w:r>
      <w:r w:rsidR="00A73AD2" w:rsidRPr="007F1538">
        <w:rPr>
          <w:rFonts w:cs="Arial"/>
          <w:lang w:val="fr-FR"/>
        </w:rPr>
        <w:t xml:space="preserve"> </w:t>
      </w:r>
    </w:p>
    <w:p w:rsidR="00A73AD2" w:rsidRPr="007F1538" w:rsidRDefault="00A73AD2">
      <w:pPr>
        <w:rPr>
          <w:rFonts w:cs="Arial"/>
          <w:lang w:val="fr-FR"/>
        </w:rPr>
      </w:pPr>
    </w:p>
    <w:p w:rsidR="00A73AD2" w:rsidRPr="007F1538" w:rsidRDefault="00726EC7" w:rsidP="00726EC7">
      <w:pPr>
        <w:spacing w:after="120"/>
        <w:rPr>
          <w:rFonts w:cs="Arial"/>
          <w:lang w:val="fr-FR"/>
        </w:rPr>
      </w:pPr>
      <w:r w:rsidRPr="00726EC7">
        <w:rPr>
          <w:rFonts w:cs="Arial"/>
          <w:lang w:val="fr-FR"/>
        </w:rPr>
        <w:t>Tableau e :</w:t>
      </w:r>
      <w:r w:rsidR="00A73AD2" w:rsidRPr="007F1538">
        <w:rPr>
          <w:rFonts w:cs="Arial"/>
          <w:lang w:val="fr-FR"/>
        </w:rPr>
        <w:t xml:space="preserve"> </w:t>
      </w:r>
      <w:r w:rsidRPr="00726EC7">
        <w:rPr>
          <w:rFonts w:cs="Arial"/>
          <w:lang w:val="fr-FR"/>
        </w:rPr>
        <w:t>répartition des travailleurs de l’industrie alimentaire selon l’âge.</w:t>
      </w:r>
    </w:p>
    <w:tbl>
      <w:tblPr>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9"/>
        <w:gridCol w:w="1506"/>
        <w:gridCol w:w="1845"/>
      </w:tblGrid>
      <w:tr w:rsidR="001E6A53" w:rsidRPr="007F1538" w:rsidTr="00315343">
        <w:trPr>
          <w:jc w:val="center"/>
        </w:trPr>
        <w:tc>
          <w:tcPr>
            <w:tcW w:w="1779" w:type="dxa"/>
            <w:vAlign w:val="bottom"/>
          </w:tcPr>
          <w:p w:rsidR="001E6A53" w:rsidRPr="007F1538" w:rsidRDefault="00726EC7" w:rsidP="00690B4E">
            <w:pPr>
              <w:jc w:val="center"/>
              <w:rPr>
                <w:rFonts w:cs="Arial"/>
                <w:lang w:val="fr-FR"/>
              </w:rPr>
            </w:pPr>
            <w:r w:rsidRPr="00726EC7">
              <w:rPr>
                <w:rFonts w:cs="Arial"/>
                <w:lang w:val="fr-FR"/>
              </w:rPr>
              <w:t>Age</w:t>
            </w:r>
          </w:p>
        </w:tc>
        <w:tc>
          <w:tcPr>
            <w:tcW w:w="1506" w:type="dxa"/>
            <w:vAlign w:val="bottom"/>
          </w:tcPr>
          <w:p w:rsidR="001E6A53" w:rsidRPr="007F1538" w:rsidRDefault="00726EC7" w:rsidP="00690B4E">
            <w:pPr>
              <w:jc w:val="center"/>
              <w:rPr>
                <w:rFonts w:cs="Arial"/>
                <w:lang w:val="fr-FR"/>
              </w:rPr>
            </w:pPr>
            <w:r w:rsidRPr="00726EC7">
              <w:rPr>
                <w:rFonts w:cs="Arial"/>
                <w:lang w:val="fr-FR"/>
              </w:rPr>
              <w:t>Nombre de travailleurs</w:t>
            </w:r>
          </w:p>
        </w:tc>
        <w:tc>
          <w:tcPr>
            <w:tcW w:w="1845" w:type="dxa"/>
            <w:vAlign w:val="bottom"/>
          </w:tcPr>
          <w:p w:rsidR="001E6A53" w:rsidRPr="007F1538" w:rsidRDefault="00726EC7" w:rsidP="00690B4E">
            <w:pPr>
              <w:jc w:val="center"/>
              <w:rPr>
                <w:rFonts w:cs="Arial"/>
                <w:lang w:val="fr-FR"/>
              </w:rPr>
            </w:pPr>
            <w:r w:rsidRPr="00726EC7">
              <w:rPr>
                <w:rFonts w:cs="Arial"/>
                <w:lang w:val="fr-FR"/>
              </w:rPr>
              <w:t>Pourcentage</w:t>
            </w:r>
          </w:p>
        </w:tc>
      </w:tr>
      <w:tr w:rsidR="001E6A53" w:rsidRPr="007F1538" w:rsidTr="00315343">
        <w:trPr>
          <w:jc w:val="center"/>
        </w:trPr>
        <w:tc>
          <w:tcPr>
            <w:tcW w:w="1779" w:type="dxa"/>
            <w:vAlign w:val="bottom"/>
          </w:tcPr>
          <w:p w:rsidR="001E6A53" w:rsidRPr="007F1538" w:rsidRDefault="00726EC7" w:rsidP="00690B4E">
            <w:pPr>
              <w:jc w:val="center"/>
              <w:rPr>
                <w:rFonts w:cs="Arial"/>
                <w:lang w:val="fr-FR"/>
              </w:rPr>
            </w:pPr>
            <w:r w:rsidRPr="00726EC7">
              <w:rPr>
                <w:rFonts w:cs="Arial"/>
                <w:lang w:val="fr-FR"/>
              </w:rPr>
              <w:t>&lt; 30 ans</w:t>
            </w:r>
          </w:p>
        </w:tc>
        <w:tc>
          <w:tcPr>
            <w:tcW w:w="1506" w:type="dxa"/>
            <w:vAlign w:val="bottom"/>
          </w:tcPr>
          <w:p w:rsidR="001E6A53" w:rsidRPr="007F1538" w:rsidRDefault="001E6A53" w:rsidP="00162543">
            <w:pPr>
              <w:jc w:val="center"/>
              <w:rPr>
                <w:rFonts w:cs="Arial"/>
                <w:lang w:val="fr-FR"/>
              </w:rPr>
            </w:pPr>
            <w:r w:rsidRPr="007F1538">
              <w:rPr>
                <w:rFonts w:cs="Arial"/>
                <w:lang w:val="fr-FR"/>
              </w:rPr>
              <w:t>22.151</w:t>
            </w:r>
          </w:p>
        </w:tc>
        <w:tc>
          <w:tcPr>
            <w:tcW w:w="1845" w:type="dxa"/>
            <w:vAlign w:val="bottom"/>
          </w:tcPr>
          <w:p w:rsidR="001E6A53" w:rsidRPr="007F1538" w:rsidRDefault="001E6A53">
            <w:pPr>
              <w:jc w:val="center"/>
              <w:rPr>
                <w:rFonts w:cs="Arial"/>
                <w:lang w:val="fr-FR"/>
              </w:rPr>
            </w:pPr>
            <w:r w:rsidRPr="007F1538">
              <w:rPr>
                <w:rFonts w:cs="Arial"/>
                <w:lang w:val="fr-FR"/>
              </w:rPr>
              <w:t>25,0%</w:t>
            </w:r>
          </w:p>
        </w:tc>
      </w:tr>
      <w:tr w:rsidR="001E6A53" w:rsidRPr="007F1538" w:rsidTr="00315343">
        <w:trPr>
          <w:jc w:val="center"/>
        </w:trPr>
        <w:tc>
          <w:tcPr>
            <w:tcW w:w="1779" w:type="dxa"/>
            <w:vAlign w:val="bottom"/>
          </w:tcPr>
          <w:p w:rsidR="001E6A53" w:rsidRPr="007F1538" w:rsidRDefault="00726EC7" w:rsidP="00690B4E">
            <w:pPr>
              <w:jc w:val="center"/>
              <w:rPr>
                <w:rFonts w:cs="Arial"/>
                <w:lang w:val="fr-FR"/>
              </w:rPr>
            </w:pPr>
            <w:r w:rsidRPr="00726EC7">
              <w:rPr>
                <w:rFonts w:cs="Arial"/>
                <w:lang w:val="fr-FR"/>
              </w:rPr>
              <w:t>30 – 44 ans</w:t>
            </w:r>
          </w:p>
        </w:tc>
        <w:tc>
          <w:tcPr>
            <w:tcW w:w="1506" w:type="dxa"/>
            <w:vAlign w:val="bottom"/>
          </w:tcPr>
          <w:p w:rsidR="001E6A53" w:rsidRPr="007F1538" w:rsidRDefault="001E6A53" w:rsidP="00162543">
            <w:pPr>
              <w:jc w:val="center"/>
              <w:rPr>
                <w:rFonts w:cs="Arial"/>
                <w:lang w:val="fr-FR"/>
              </w:rPr>
            </w:pPr>
            <w:r w:rsidRPr="007F1538">
              <w:rPr>
                <w:rFonts w:cs="Arial"/>
                <w:lang w:val="fr-FR"/>
              </w:rPr>
              <w:t>41.029</w:t>
            </w:r>
          </w:p>
        </w:tc>
        <w:tc>
          <w:tcPr>
            <w:tcW w:w="1845" w:type="dxa"/>
            <w:vAlign w:val="bottom"/>
          </w:tcPr>
          <w:p w:rsidR="001E6A53" w:rsidRPr="007F1538" w:rsidRDefault="001E6A53">
            <w:pPr>
              <w:jc w:val="center"/>
              <w:rPr>
                <w:rFonts w:cs="Arial"/>
                <w:lang w:val="fr-FR"/>
              </w:rPr>
            </w:pPr>
            <w:r w:rsidRPr="007F1538">
              <w:rPr>
                <w:rFonts w:cs="Arial"/>
                <w:lang w:val="fr-FR"/>
              </w:rPr>
              <w:t>46,2%</w:t>
            </w:r>
          </w:p>
        </w:tc>
      </w:tr>
      <w:tr w:rsidR="001E6A53" w:rsidRPr="007F1538" w:rsidTr="00315343">
        <w:trPr>
          <w:jc w:val="center"/>
        </w:trPr>
        <w:tc>
          <w:tcPr>
            <w:tcW w:w="1779" w:type="dxa"/>
            <w:vAlign w:val="bottom"/>
          </w:tcPr>
          <w:p w:rsidR="001E6A53" w:rsidRPr="007F1538" w:rsidRDefault="00726EC7" w:rsidP="00690B4E">
            <w:pPr>
              <w:jc w:val="center"/>
              <w:rPr>
                <w:rFonts w:cs="Arial"/>
                <w:lang w:val="fr-FR"/>
              </w:rPr>
            </w:pPr>
            <w:r w:rsidRPr="00726EC7">
              <w:rPr>
                <w:rFonts w:cs="Arial"/>
                <w:lang w:val="fr-FR"/>
              </w:rPr>
              <w:lastRenderedPageBreak/>
              <w:t>&gt;= 45 ans</w:t>
            </w:r>
          </w:p>
        </w:tc>
        <w:tc>
          <w:tcPr>
            <w:tcW w:w="1506" w:type="dxa"/>
            <w:vAlign w:val="bottom"/>
          </w:tcPr>
          <w:p w:rsidR="001E6A53" w:rsidRPr="007F1538" w:rsidRDefault="001E6A53" w:rsidP="00162543">
            <w:pPr>
              <w:jc w:val="center"/>
              <w:rPr>
                <w:rFonts w:cs="Arial"/>
                <w:lang w:val="fr-FR"/>
              </w:rPr>
            </w:pPr>
            <w:r w:rsidRPr="007F1538">
              <w:rPr>
                <w:rFonts w:cs="Arial"/>
                <w:lang w:val="fr-FR"/>
              </w:rPr>
              <w:t>25.533</w:t>
            </w:r>
          </w:p>
        </w:tc>
        <w:tc>
          <w:tcPr>
            <w:tcW w:w="1845" w:type="dxa"/>
            <w:vAlign w:val="bottom"/>
          </w:tcPr>
          <w:p w:rsidR="001E6A53" w:rsidRPr="007F1538" w:rsidRDefault="001E6A53">
            <w:pPr>
              <w:jc w:val="center"/>
              <w:rPr>
                <w:rFonts w:cs="Arial"/>
                <w:lang w:val="fr-FR"/>
              </w:rPr>
            </w:pPr>
            <w:r w:rsidRPr="007F1538">
              <w:rPr>
                <w:rFonts w:cs="Arial"/>
                <w:lang w:val="fr-FR"/>
              </w:rPr>
              <w:t>28,8%</w:t>
            </w:r>
          </w:p>
        </w:tc>
      </w:tr>
      <w:tr w:rsidR="001E6A53" w:rsidRPr="007F1538" w:rsidTr="00315343">
        <w:trPr>
          <w:jc w:val="center"/>
        </w:trPr>
        <w:tc>
          <w:tcPr>
            <w:tcW w:w="1779" w:type="dxa"/>
            <w:vAlign w:val="bottom"/>
          </w:tcPr>
          <w:p w:rsidR="001E6A53" w:rsidRPr="007F1538" w:rsidRDefault="00726EC7" w:rsidP="00690B4E">
            <w:pPr>
              <w:jc w:val="center"/>
              <w:rPr>
                <w:rFonts w:cs="Arial"/>
                <w:i/>
                <w:lang w:val="fr-FR"/>
              </w:rPr>
            </w:pPr>
            <w:r w:rsidRPr="00726EC7">
              <w:rPr>
                <w:rFonts w:cs="Arial"/>
                <w:i/>
                <w:lang w:val="fr-FR"/>
              </w:rPr>
              <w:t>Total</w:t>
            </w:r>
          </w:p>
        </w:tc>
        <w:tc>
          <w:tcPr>
            <w:tcW w:w="1506" w:type="dxa"/>
            <w:vAlign w:val="bottom"/>
          </w:tcPr>
          <w:p w:rsidR="001E6A53" w:rsidRPr="007F1538" w:rsidRDefault="001E6A53" w:rsidP="00162543">
            <w:pPr>
              <w:jc w:val="center"/>
              <w:rPr>
                <w:rFonts w:cs="Arial"/>
                <w:i/>
                <w:lang w:val="fr-FR"/>
              </w:rPr>
            </w:pPr>
            <w:r w:rsidRPr="007F1538">
              <w:rPr>
                <w:rFonts w:cs="Arial"/>
                <w:i/>
                <w:lang w:val="fr-FR"/>
              </w:rPr>
              <w:t>88.713</w:t>
            </w:r>
          </w:p>
        </w:tc>
        <w:tc>
          <w:tcPr>
            <w:tcW w:w="1845" w:type="dxa"/>
            <w:vAlign w:val="bottom"/>
          </w:tcPr>
          <w:p w:rsidR="001E6A53" w:rsidRPr="007F1538" w:rsidRDefault="001E6A53">
            <w:pPr>
              <w:jc w:val="center"/>
              <w:rPr>
                <w:rFonts w:cs="Arial"/>
                <w:i/>
                <w:lang w:val="fr-FR"/>
              </w:rPr>
            </w:pPr>
            <w:r w:rsidRPr="007F1538">
              <w:rPr>
                <w:rFonts w:cs="Arial"/>
                <w:i/>
                <w:lang w:val="fr-FR"/>
              </w:rPr>
              <w:t>100,0%</w:t>
            </w:r>
          </w:p>
        </w:tc>
      </w:tr>
    </w:tbl>
    <w:p w:rsidR="00962056" w:rsidRPr="007F1538" w:rsidRDefault="00962056" w:rsidP="00B401E6">
      <w:pPr>
        <w:rPr>
          <w:lang w:val="fr-FR"/>
        </w:rPr>
      </w:pPr>
      <w:bookmarkStart w:id="105" w:name="_Toc231044725"/>
    </w:p>
    <w:p w:rsidR="00D97EAB" w:rsidRPr="007F1538" w:rsidRDefault="00962056" w:rsidP="00726EC7">
      <w:pPr>
        <w:pStyle w:val="Heading2"/>
        <w:rPr>
          <w:lang w:val="fr-FR"/>
        </w:rPr>
      </w:pPr>
      <w:r w:rsidRPr="007F1538">
        <w:rPr>
          <w:lang w:val="fr-FR"/>
        </w:rPr>
        <w:br w:type="page"/>
      </w:r>
      <w:bookmarkStart w:id="106" w:name="_Toc267060139"/>
      <w:bookmarkStart w:id="107" w:name="_Toc269220693"/>
      <w:bookmarkEnd w:id="105"/>
      <w:r w:rsidR="00726EC7" w:rsidRPr="00726EC7">
        <w:rPr>
          <w:lang w:val="fr-FR"/>
        </w:rPr>
        <w:lastRenderedPageBreak/>
        <w:t>Annexe 2 : Les formations IFP selon la région</w:t>
      </w:r>
      <w:bookmarkEnd w:id="106"/>
      <w:bookmarkEnd w:id="107"/>
    </w:p>
    <w:p w:rsidR="00174E07" w:rsidRPr="007F1538" w:rsidRDefault="00726EC7" w:rsidP="00D97EAB">
      <w:pPr>
        <w:rPr>
          <w:rFonts w:cs="Arial"/>
          <w:lang w:val="fr-FR"/>
        </w:rPr>
      </w:pPr>
      <w:r w:rsidRPr="00AD6341">
        <w:rPr>
          <w:rFonts w:cs="Arial"/>
          <w:lang w:val="fr-FR"/>
        </w:rPr>
        <w:t xml:space="preserve">La répartition régionale des employeurs </w:t>
      </w:r>
      <w:r w:rsidR="00AD6341" w:rsidRPr="00AD6341">
        <w:rPr>
          <w:rFonts w:cs="Arial"/>
          <w:lang w:val="fr-FR"/>
        </w:rPr>
        <w:t>et de</w:t>
      </w:r>
      <w:r w:rsidRPr="00AD6341">
        <w:rPr>
          <w:rFonts w:cs="Arial"/>
          <w:lang w:val="fr-FR"/>
        </w:rPr>
        <w:t xml:space="preserve"> l’emploi en 2007 </w:t>
      </w:r>
      <w:r w:rsidR="00AD6341" w:rsidRPr="00AD6341">
        <w:rPr>
          <w:rFonts w:cs="Arial"/>
          <w:lang w:val="fr-FR"/>
        </w:rPr>
        <w:t>est</w:t>
      </w:r>
      <w:r w:rsidRPr="00AD6341">
        <w:rPr>
          <w:rFonts w:cs="Arial"/>
          <w:lang w:val="fr-FR"/>
        </w:rPr>
        <w:t xml:space="preserve"> reproduite schématiquement dans l’aperçu suivant :</w:t>
      </w:r>
    </w:p>
    <w:p w:rsidR="00174E07" w:rsidRPr="007F1538" w:rsidRDefault="00174E07" w:rsidP="00D97EAB">
      <w:pPr>
        <w:rPr>
          <w:rFonts w:cs="Arial"/>
          <w:lang w:val="fr-FR"/>
        </w:rPr>
      </w:pPr>
    </w:p>
    <w:tbl>
      <w:tblPr>
        <w:tblW w:w="9110" w:type="dxa"/>
        <w:tblInd w:w="93" w:type="dxa"/>
        <w:tblLook w:val="0000"/>
      </w:tblPr>
      <w:tblGrid>
        <w:gridCol w:w="1520"/>
        <w:gridCol w:w="1660"/>
        <w:gridCol w:w="895"/>
        <w:gridCol w:w="1760"/>
        <w:gridCol w:w="895"/>
        <w:gridCol w:w="2380"/>
      </w:tblGrid>
      <w:tr w:rsidR="00726EC7" w:rsidRPr="007F1538" w:rsidTr="00726EC7">
        <w:tc>
          <w:tcPr>
            <w:tcW w:w="15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70EC" w:rsidRPr="007F1538" w:rsidRDefault="005370EC">
            <w:pPr>
              <w:rPr>
                <w:rFonts w:cs="Arial"/>
                <w:lang w:val="fr-FR"/>
              </w:rPr>
            </w:pPr>
            <w:r w:rsidRPr="007F1538">
              <w:rPr>
                <w:rFonts w:cs="Arial"/>
                <w:lang w:val="fr-FR"/>
              </w:rPr>
              <w:t> </w:t>
            </w:r>
          </w:p>
        </w:tc>
        <w:tc>
          <w:tcPr>
            <w:tcW w:w="1660" w:type="dxa"/>
            <w:tcBorders>
              <w:top w:val="single" w:sz="8" w:space="0" w:color="auto"/>
              <w:left w:val="nil"/>
              <w:bottom w:val="single" w:sz="8" w:space="0" w:color="auto"/>
              <w:right w:val="nil"/>
            </w:tcBorders>
            <w:shd w:val="clear" w:color="auto" w:fill="auto"/>
            <w:noWrap/>
            <w:vAlign w:val="bottom"/>
          </w:tcPr>
          <w:p w:rsidR="005370EC" w:rsidRPr="007F1538" w:rsidRDefault="00726EC7" w:rsidP="00690B4E">
            <w:pPr>
              <w:jc w:val="center"/>
              <w:rPr>
                <w:rFonts w:cs="Arial"/>
                <w:lang w:val="fr-FR"/>
              </w:rPr>
            </w:pPr>
            <w:r w:rsidRPr="00726EC7">
              <w:rPr>
                <w:rFonts w:cs="Arial"/>
                <w:lang w:val="fr-FR"/>
              </w:rPr>
              <w:t>Nombre d’employeurs</w:t>
            </w:r>
          </w:p>
        </w:tc>
        <w:tc>
          <w:tcPr>
            <w:tcW w:w="8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w:t>
            </w:r>
          </w:p>
        </w:tc>
        <w:tc>
          <w:tcPr>
            <w:tcW w:w="1760" w:type="dxa"/>
            <w:tcBorders>
              <w:top w:val="single" w:sz="8" w:space="0" w:color="auto"/>
              <w:left w:val="nil"/>
              <w:bottom w:val="single" w:sz="8" w:space="0" w:color="auto"/>
              <w:right w:val="nil"/>
            </w:tcBorders>
            <w:shd w:val="clear" w:color="auto" w:fill="auto"/>
            <w:noWrap/>
            <w:vAlign w:val="bottom"/>
          </w:tcPr>
          <w:p w:rsidR="005370EC" w:rsidRPr="007F1538" w:rsidRDefault="00726EC7" w:rsidP="00690B4E">
            <w:pPr>
              <w:jc w:val="center"/>
              <w:rPr>
                <w:rFonts w:cs="Arial"/>
                <w:lang w:val="fr-FR"/>
              </w:rPr>
            </w:pPr>
            <w:r w:rsidRPr="00726EC7">
              <w:rPr>
                <w:rFonts w:cs="Arial"/>
                <w:lang w:val="fr-FR"/>
              </w:rPr>
              <w:t>Nombre de travailleurs</w:t>
            </w:r>
          </w:p>
        </w:tc>
        <w:tc>
          <w:tcPr>
            <w:tcW w:w="8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w:t>
            </w:r>
          </w:p>
        </w:tc>
        <w:tc>
          <w:tcPr>
            <w:tcW w:w="2380" w:type="dxa"/>
            <w:tcBorders>
              <w:top w:val="single" w:sz="8" w:space="0" w:color="auto"/>
              <w:left w:val="nil"/>
              <w:bottom w:val="single" w:sz="8" w:space="0" w:color="auto"/>
              <w:right w:val="single" w:sz="8" w:space="0" w:color="auto"/>
            </w:tcBorders>
            <w:shd w:val="clear" w:color="auto" w:fill="auto"/>
            <w:noWrap/>
            <w:vAlign w:val="bottom"/>
          </w:tcPr>
          <w:p w:rsidR="005370EC" w:rsidRPr="007F1538" w:rsidRDefault="00726EC7" w:rsidP="00690B4E">
            <w:pPr>
              <w:jc w:val="center"/>
              <w:rPr>
                <w:rFonts w:cs="Arial"/>
                <w:lang w:val="fr-FR"/>
              </w:rPr>
            </w:pPr>
            <w:r w:rsidRPr="00726EC7">
              <w:rPr>
                <w:rFonts w:cs="Arial"/>
                <w:lang w:val="fr-FR"/>
              </w:rPr>
              <w:t>Emploi moyen</w:t>
            </w:r>
          </w:p>
        </w:tc>
      </w:tr>
      <w:tr w:rsidR="00726EC7" w:rsidRPr="007F1538" w:rsidTr="00726EC7">
        <w:tc>
          <w:tcPr>
            <w:tcW w:w="1520" w:type="dxa"/>
            <w:tcBorders>
              <w:top w:val="nil"/>
              <w:left w:val="single" w:sz="8" w:space="0" w:color="auto"/>
              <w:bottom w:val="single" w:sz="8" w:space="0" w:color="auto"/>
              <w:right w:val="single" w:sz="8" w:space="0" w:color="auto"/>
            </w:tcBorders>
            <w:shd w:val="clear" w:color="auto" w:fill="auto"/>
            <w:noWrap/>
            <w:vAlign w:val="bottom"/>
          </w:tcPr>
          <w:p w:rsidR="005370EC" w:rsidRPr="007F1538" w:rsidRDefault="00726EC7" w:rsidP="00690B4E">
            <w:pPr>
              <w:rPr>
                <w:rFonts w:cs="Arial"/>
                <w:lang w:val="fr-FR"/>
              </w:rPr>
            </w:pPr>
            <w:r w:rsidRPr="00726EC7">
              <w:rPr>
                <w:rFonts w:cs="Arial"/>
                <w:lang w:val="fr-FR"/>
              </w:rPr>
              <w:t>Flandre</w:t>
            </w:r>
          </w:p>
        </w:tc>
        <w:tc>
          <w:tcPr>
            <w:tcW w:w="1660"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3.771</w:t>
            </w:r>
          </w:p>
        </w:tc>
        <w:tc>
          <w:tcPr>
            <w:tcW w:w="895" w:type="dxa"/>
            <w:tcBorders>
              <w:top w:val="nil"/>
              <w:left w:val="nil"/>
              <w:bottom w:val="nil"/>
              <w:right w:val="single" w:sz="8" w:space="0" w:color="auto"/>
            </w:tcBorders>
            <w:shd w:val="clear" w:color="auto" w:fill="auto"/>
            <w:noWrap/>
            <w:vAlign w:val="bottom"/>
          </w:tcPr>
          <w:p w:rsidR="005370EC" w:rsidRPr="007F1538" w:rsidRDefault="005370EC" w:rsidP="005370EC">
            <w:pPr>
              <w:jc w:val="center"/>
              <w:rPr>
                <w:rFonts w:cs="Arial"/>
                <w:bCs/>
                <w:lang w:val="fr-FR"/>
              </w:rPr>
            </w:pPr>
            <w:r w:rsidRPr="007F1538">
              <w:rPr>
                <w:rFonts w:cs="Arial"/>
                <w:bCs/>
                <w:lang w:val="fr-FR"/>
              </w:rPr>
              <w:t>65,8%</w:t>
            </w:r>
          </w:p>
        </w:tc>
        <w:tc>
          <w:tcPr>
            <w:tcW w:w="1760" w:type="dxa"/>
            <w:tcBorders>
              <w:top w:val="nil"/>
              <w:left w:val="nil"/>
              <w:bottom w:val="nil"/>
              <w:right w:val="nil"/>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63.394</w:t>
            </w:r>
          </w:p>
        </w:tc>
        <w:tc>
          <w:tcPr>
            <w:tcW w:w="895" w:type="dxa"/>
            <w:tcBorders>
              <w:top w:val="nil"/>
              <w:left w:val="single" w:sz="8" w:space="0" w:color="auto"/>
              <w:bottom w:val="nil"/>
              <w:right w:val="single" w:sz="8" w:space="0" w:color="auto"/>
            </w:tcBorders>
            <w:shd w:val="clear" w:color="auto" w:fill="auto"/>
            <w:noWrap/>
            <w:vAlign w:val="bottom"/>
          </w:tcPr>
          <w:p w:rsidR="005370EC" w:rsidRPr="007F1538" w:rsidRDefault="005370EC" w:rsidP="005370EC">
            <w:pPr>
              <w:jc w:val="center"/>
              <w:rPr>
                <w:rFonts w:cs="Arial"/>
                <w:bCs/>
                <w:lang w:val="fr-FR"/>
              </w:rPr>
            </w:pPr>
            <w:r w:rsidRPr="007F1538">
              <w:rPr>
                <w:rFonts w:cs="Arial"/>
                <w:bCs/>
                <w:lang w:val="fr-FR"/>
              </w:rPr>
              <w:t>71,5%</w:t>
            </w:r>
          </w:p>
        </w:tc>
        <w:tc>
          <w:tcPr>
            <w:tcW w:w="2380" w:type="dxa"/>
            <w:tcBorders>
              <w:top w:val="nil"/>
              <w:left w:val="nil"/>
              <w:bottom w:val="nil"/>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16,8</w:t>
            </w:r>
          </w:p>
        </w:tc>
      </w:tr>
      <w:tr w:rsidR="00726EC7" w:rsidRPr="007F1538" w:rsidTr="00726EC7">
        <w:tc>
          <w:tcPr>
            <w:tcW w:w="1520" w:type="dxa"/>
            <w:tcBorders>
              <w:top w:val="nil"/>
              <w:left w:val="single" w:sz="8" w:space="0" w:color="auto"/>
              <w:bottom w:val="single" w:sz="8" w:space="0" w:color="auto"/>
              <w:right w:val="single" w:sz="8" w:space="0" w:color="auto"/>
            </w:tcBorders>
            <w:shd w:val="clear" w:color="auto" w:fill="auto"/>
            <w:noWrap/>
            <w:vAlign w:val="bottom"/>
          </w:tcPr>
          <w:p w:rsidR="005370EC" w:rsidRPr="007F1538" w:rsidRDefault="00726EC7" w:rsidP="00690B4E">
            <w:pPr>
              <w:rPr>
                <w:rFonts w:cs="Arial"/>
                <w:lang w:val="fr-FR"/>
              </w:rPr>
            </w:pPr>
            <w:r w:rsidRPr="00726EC7">
              <w:rPr>
                <w:rFonts w:cs="Arial"/>
                <w:lang w:val="fr-FR"/>
              </w:rPr>
              <w:t>Wallonie</w:t>
            </w:r>
          </w:p>
        </w:tc>
        <w:tc>
          <w:tcPr>
            <w:tcW w:w="1660"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1.595</w:t>
            </w:r>
          </w:p>
        </w:tc>
        <w:tc>
          <w:tcPr>
            <w:tcW w:w="895" w:type="dxa"/>
            <w:tcBorders>
              <w:top w:val="single" w:sz="8" w:space="0" w:color="auto"/>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lang w:val="fr-FR"/>
              </w:rPr>
            </w:pPr>
            <w:r w:rsidRPr="007F1538">
              <w:rPr>
                <w:rFonts w:cs="Arial"/>
                <w:bCs/>
                <w:lang w:val="fr-FR"/>
              </w:rPr>
              <w:t>27,8%</w:t>
            </w:r>
          </w:p>
        </w:tc>
        <w:tc>
          <w:tcPr>
            <w:tcW w:w="1760" w:type="dxa"/>
            <w:tcBorders>
              <w:top w:val="single" w:sz="8" w:space="0" w:color="auto"/>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21.144</w:t>
            </w:r>
          </w:p>
        </w:tc>
        <w:tc>
          <w:tcPr>
            <w:tcW w:w="895" w:type="dxa"/>
            <w:tcBorders>
              <w:top w:val="single" w:sz="8" w:space="0" w:color="auto"/>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lang w:val="fr-FR"/>
              </w:rPr>
            </w:pPr>
            <w:r w:rsidRPr="007F1538">
              <w:rPr>
                <w:rFonts w:cs="Arial"/>
                <w:bCs/>
                <w:lang w:val="fr-FR"/>
              </w:rPr>
              <w:t>23,8%</w:t>
            </w:r>
          </w:p>
        </w:tc>
        <w:tc>
          <w:tcPr>
            <w:tcW w:w="2380" w:type="dxa"/>
            <w:tcBorders>
              <w:top w:val="single" w:sz="8" w:space="0" w:color="auto"/>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13,3</w:t>
            </w:r>
          </w:p>
        </w:tc>
      </w:tr>
      <w:tr w:rsidR="00726EC7" w:rsidRPr="007F1538" w:rsidTr="00726EC7">
        <w:tc>
          <w:tcPr>
            <w:tcW w:w="1520" w:type="dxa"/>
            <w:tcBorders>
              <w:top w:val="nil"/>
              <w:left w:val="single" w:sz="8" w:space="0" w:color="auto"/>
              <w:bottom w:val="single" w:sz="8" w:space="0" w:color="auto"/>
              <w:right w:val="single" w:sz="8" w:space="0" w:color="auto"/>
            </w:tcBorders>
            <w:shd w:val="clear" w:color="auto" w:fill="auto"/>
            <w:noWrap/>
            <w:vAlign w:val="bottom"/>
          </w:tcPr>
          <w:p w:rsidR="005370EC" w:rsidRPr="007F1538" w:rsidRDefault="00726EC7" w:rsidP="00690B4E">
            <w:pPr>
              <w:rPr>
                <w:rFonts w:cs="Arial"/>
                <w:lang w:val="fr-FR"/>
              </w:rPr>
            </w:pPr>
            <w:r w:rsidRPr="00726EC7">
              <w:rPr>
                <w:rFonts w:cs="Arial"/>
                <w:lang w:val="fr-FR"/>
              </w:rPr>
              <w:t>Bruxelles</w:t>
            </w:r>
          </w:p>
        </w:tc>
        <w:tc>
          <w:tcPr>
            <w:tcW w:w="1660"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366</w:t>
            </w:r>
          </w:p>
        </w:tc>
        <w:tc>
          <w:tcPr>
            <w:tcW w:w="895"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lang w:val="fr-FR"/>
              </w:rPr>
            </w:pPr>
            <w:r w:rsidRPr="007F1538">
              <w:rPr>
                <w:rFonts w:cs="Arial"/>
                <w:bCs/>
                <w:lang w:val="fr-FR"/>
              </w:rPr>
              <w:t>6,4%</w:t>
            </w:r>
          </w:p>
        </w:tc>
        <w:tc>
          <w:tcPr>
            <w:tcW w:w="1760"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4.176</w:t>
            </w:r>
          </w:p>
        </w:tc>
        <w:tc>
          <w:tcPr>
            <w:tcW w:w="895"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lang w:val="fr-FR"/>
              </w:rPr>
            </w:pPr>
            <w:r w:rsidRPr="007F1538">
              <w:rPr>
                <w:rFonts w:cs="Arial"/>
                <w:bCs/>
                <w:lang w:val="fr-FR"/>
              </w:rPr>
              <w:t>4,7%</w:t>
            </w:r>
          </w:p>
        </w:tc>
        <w:tc>
          <w:tcPr>
            <w:tcW w:w="2380"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lang w:val="fr-FR"/>
              </w:rPr>
            </w:pPr>
            <w:r w:rsidRPr="007F1538">
              <w:rPr>
                <w:rFonts w:cs="Arial"/>
                <w:lang w:val="fr-FR"/>
              </w:rPr>
              <w:t>11,4</w:t>
            </w:r>
          </w:p>
        </w:tc>
      </w:tr>
      <w:tr w:rsidR="00726EC7" w:rsidRPr="007F1538" w:rsidTr="00726EC7">
        <w:tc>
          <w:tcPr>
            <w:tcW w:w="1520" w:type="dxa"/>
            <w:tcBorders>
              <w:top w:val="nil"/>
              <w:left w:val="single" w:sz="8" w:space="0" w:color="auto"/>
              <w:bottom w:val="single" w:sz="8" w:space="0" w:color="auto"/>
              <w:right w:val="single" w:sz="8" w:space="0" w:color="auto"/>
            </w:tcBorders>
            <w:shd w:val="clear" w:color="auto" w:fill="auto"/>
            <w:noWrap/>
            <w:vAlign w:val="bottom"/>
          </w:tcPr>
          <w:p w:rsidR="005370EC" w:rsidRPr="007F1538" w:rsidRDefault="00726EC7" w:rsidP="00690B4E">
            <w:pPr>
              <w:rPr>
                <w:rFonts w:cs="Arial"/>
                <w:i/>
                <w:lang w:val="fr-FR"/>
              </w:rPr>
            </w:pPr>
            <w:r w:rsidRPr="00726EC7">
              <w:rPr>
                <w:rFonts w:cs="Arial"/>
                <w:i/>
                <w:lang w:val="fr-FR"/>
              </w:rPr>
              <w:t>Total</w:t>
            </w:r>
          </w:p>
        </w:tc>
        <w:tc>
          <w:tcPr>
            <w:tcW w:w="1660" w:type="dxa"/>
            <w:tcBorders>
              <w:top w:val="nil"/>
              <w:left w:val="nil"/>
              <w:bottom w:val="single" w:sz="8" w:space="0" w:color="auto"/>
              <w:right w:val="nil"/>
            </w:tcBorders>
            <w:shd w:val="clear" w:color="auto" w:fill="auto"/>
            <w:noWrap/>
            <w:vAlign w:val="bottom"/>
          </w:tcPr>
          <w:p w:rsidR="005370EC" w:rsidRPr="007F1538" w:rsidRDefault="005370EC" w:rsidP="005370EC">
            <w:pPr>
              <w:jc w:val="center"/>
              <w:rPr>
                <w:rFonts w:cs="Arial"/>
                <w:bCs/>
                <w:i/>
                <w:lang w:val="fr-FR"/>
              </w:rPr>
            </w:pPr>
            <w:r w:rsidRPr="007F1538">
              <w:rPr>
                <w:rFonts w:cs="Arial"/>
                <w:bCs/>
                <w:i/>
                <w:lang w:val="fr-FR"/>
              </w:rPr>
              <w:t>5.732</w:t>
            </w:r>
          </w:p>
        </w:tc>
        <w:tc>
          <w:tcPr>
            <w:tcW w:w="895" w:type="dxa"/>
            <w:tcBorders>
              <w:top w:val="nil"/>
              <w:left w:val="single" w:sz="8" w:space="0" w:color="auto"/>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i/>
                <w:lang w:val="fr-FR"/>
              </w:rPr>
            </w:pPr>
            <w:r w:rsidRPr="007F1538">
              <w:rPr>
                <w:rFonts w:cs="Arial"/>
                <w:bCs/>
                <w:i/>
                <w:lang w:val="fr-FR"/>
              </w:rPr>
              <w:t>100,0%</w:t>
            </w:r>
          </w:p>
        </w:tc>
        <w:tc>
          <w:tcPr>
            <w:tcW w:w="1760" w:type="dxa"/>
            <w:tcBorders>
              <w:top w:val="nil"/>
              <w:left w:val="nil"/>
              <w:bottom w:val="single" w:sz="8" w:space="0" w:color="auto"/>
              <w:right w:val="nil"/>
            </w:tcBorders>
            <w:shd w:val="clear" w:color="auto" w:fill="auto"/>
            <w:noWrap/>
            <w:vAlign w:val="bottom"/>
          </w:tcPr>
          <w:p w:rsidR="005370EC" w:rsidRPr="007F1538" w:rsidRDefault="005370EC" w:rsidP="005370EC">
            <w:pPr>
              <w:jc w:val="center"/>
              <w:rPr>
                <w:rFonts w:cs="Arial"/>
                <w:bCs/>
                <w:i/>
                <w:lang w:val="fr-FR"/>
              </w:rPr>
            </w:pPr>
            <w:r w:rsidRPr="007F1538">
              <w:rPr>
                <w:rFonts w:cs="Arial"/>
                <w:bCs/>
                <w:i/>
                <w:lang w:val="fr-FR"/>
              </w:rPr>
              <w:t>88.714</w:t>
            </w:r>
          </w:p>
        </w:tc>
        <w:tc>
          <w:tcPr>
            <w:tcW w:w="895" w:type="dxa"/>
            <w:tcBorders>
              <w:top w:val="nil"/>
              <w:left w:val="single" w:sz="8" w:space="0" w:color="auto"/>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i/>
                <w:lang w:val="fr-FR"/>
              </w:rPr>
            </w:pPr>
            <w:r w:rsidRPr="007F1538">
              <w:rPr>
                <w:rFonts w:cs="Arial"/>
                <w:bCs/>
                <w:i/>
                <w:lang w:val="fr-FR"/>
              </w:rPr>
              <w:t>100,0%</w:t>
            </w:r>
          </w:p>
        </w:tc>
        <w:tc>
          <w:tcPr>
            <w:tcW w:w="2380" w:type="dxa"/>
            <w:tcBorders>
              <w:top w:val="nil"/>
              <w:left w:val="nil"/>
              <w:bottom w:val="single" w:sz="8" w:space="0" w:color="auto"/>
              <w:right w:val="single" w:sz="8" w:space="0" w:color="auto"/>
            </w:tcBorders>
            <w:shd w:val="clear" w:color="auto" w:fill="auto"/>
            <w:noWrap/>
            <w:vAlign w:val="bottom"/>
          </w:tcPr>
          <w:p w:rsidR="005370EC" w:rsidRPr="007F1538" w:rsidRDefault="005370EC" w:rsidP="005370EC">
            <w:pPr>
              <w:jc w:val="center"/>
              <w:rPr>
                <w:rFonts w:cs="Arial"/>
                <w:bCs/>
                <w:i/>
                <w:lang w:val="fr-FR"/>
              </w:rPr>
            </w:pPr>
            <w:r w:rsidRPr="007F1538">
              <w:rPr>
                <w:rFonts w:cs="Arial"/>
                <w:bCs/>
                <w:i/>
                <w:lang w:val="fr-FR"/>
              </w:rPr>
              <w:t>15,5</w:t>
            </w:r>
          </w:p>
        </w:tc>
      </w:tr>
    </w:tbl>
    <w:p w:rsidR="00174E07" w:rsidRPr="007F1538" w:rsidRDefault="00174E07" w:rsidP="00D97EAB">
      <w:pPr>
        <w:rPr>
          <w:rFonts w:cs="Arial"/>
          <w:sz w:val="22"/>
          <w:szCs w:val="22"/>
          <w:lang w:val="fr-FR"/>
        </w:rPr>
      </w:pPr>
    </w:p>
    <w:p w:rsidR="00174E07" w:rsidRPr="007F1538" w:rsidRDefault="00726EC7" w:rsidP="00D97EAB">
      <w:pPr>
        <w:rPr>
          <w:rFonts w:cs="Arial"/>
          <w:sz w:val="18"/>
          <w:szCs w:val="18"/>
          <w:lang w:val="fr-FR"/>
        </w:rPr>
      </w:pPr>
      <w:r w:rsidRPr="00726EC7">
        <w:rPr>
          <w:rFonts w:cs="Arial"/>
          <w:sz w:val="18"/>
          <w:szCs w:val="18"/>
          <w:lang w:val="fr-FR"/>
        </w:rPr>
        <w:t>Source :</w:t>
      </w:r>
      <w:r w:rsidR="00174E07" w:rsidRPr="007F1538">
        <w:rPr>
          <w:rFonts w:cs="Arial"/>
          <w:sz w:val="18"/>
          <w:szCs w:val="18"/>
          <w:lang w:val="fr-FR"/>
        </w:rPr>
        <w:t xml:space="preserve"> </w:t>
      </w:r>
      <w:r w:rsidRPr="00726EC7">
        <w:rPr>
          <w:rFonts w:cs="Arial"/>
          <w:sz w:val="18"/>
          <w:szCs w:val="18"/>
          <w:lang w:val="fr-FR"/>
        </w:rPr>
        <w:t>CCE, avec nos remerciements à M. J.-P. Tillieux</w:t>
      </w:r>
    </w:p>
    <w:p w:rsidR="00174E07" w:rsidRPr="007F1538" w:rsidRDefault="00726EC7" w:rsidP="00726EC7">
      <w:pPr>
        <w:pStyle w:val="Heading3"/>
        <w:rPr>
          <w:lang w:val="fr-FR"/>
        </w:rPr>
      </w:pPr>
      <w:bookmarkStart w:id="108" w:name="_Toc231044726"/>
      <w:bookmarkStart w:id="109" w:name="_Toc233192590"/>
      <w:bookmarkStart w:id="110" w:name="_Toc233194354"/>
      <w:bookmarkStart w:id="111" w:name="_Toc233194509"/>
      <w:bookmarkStart w:id="112" w:name="_Toc233607066"/>
      <w:bookmarkStart w:id="113" w:name="_Toc263170611"/>
      <w:bookmarkStart w:id="114" w:name="_Toc267060140"/>
      <w:bookmarkStart w:id="115" w:name="_Toc269220694"/>
      <w:r w:rsidRPr="00726EC7">
        <w:rPr>
          <w:lang w:val="fr-FR"/>
        </w:rPr>
        <w:t>Annexe 2a :</w:t>
      </w:r>
      <w:r w:rsidR="00174E07" w:rsidRPr="007F1538">
        <w:rPr>
          <w:lang w:val="fr-FR"/>
        </w:rPr>
        <w:t xml:space="preserve"> </w:t>
      </w:r>
      <w:bookmarkEnd w:id="108"/>
      <w:bookmarkEnd w:id="109"/>
      <w:bookmarkEnd w:id="110"/>
      <w:bookmarkEnd w:id="111"/>
      <w:bookmarkEnd w:id="112"/>
      <w:bookmarkEnd w:id="113"/>
      <w:r w:rsidRPr="00726EC7">
        <w:rPr>
          <w:lang w:val="fr-FR"/>
        </w:rPr>
        <w:t>Flandre</w:t>
      </w:r>
      <w:bookmarkEnd w:id="114"/>
      <w:bookmarkEnd w:id="115"/>
    </w:p>
    <w:p w:rsidR="008125A5" w:rsidRPr="007F1538" w:rsidRDefault="008125A5" w:rsidP="00174E07">
      <w:pPr>
        <w:rPr>
          <w:rFonts w:cs="Arial"/>
          <w:lang w:val="fr-FR"/>
        </w:rPr>
      </w:pPr>
    </w:p>
    <w:p w:rsidR="008125A5" w:rsidRPr="007F1538" w:rsidRDefault="00726EC7" w:rsidP="00726EC7">
      <w:pPr>
        <w:spacing w:after="60"/>
        <w:rPr>
          <w:rFonts w:cs="Arial"/>
          <w:lang w:val="fr-FR"/>
        </w:rPr>
      </w:pPr>
      <w:r w:rsidRPr="00726EC7">
        <w:rPr>
          <w:rFonts w:cs="Arial"/>
          <w:lang w:val="fr-FR"/>
        </w:rPr>
        <w:t>Tableau f-Vl :</w:t>
      </w:r>
      <w:r w:rsidR="008125A5" w:rsidRPr="007F1538">
        <w:rPr>
          <w:rFonts w:cs="Arial"/>
          <w:lang w:val="fr-FR"/>
        </w:rPr>
        <w:t xml:space="preserve"> </w:t>
      </w:r>
      <w:r w:rsidRPr="00726EC7">
        <w:rPr>
          <w:rFonts w:cs="Arial"/>
          <w:lang w:val="fr-FR"/>
        </w:rPr>
        <w:t>couverture auprès des employeurs en % du nombre d’entreprises selon la taille de l’entreprise en Flandre</w:t>
      </w:r>
    </w:p>
    <w:tbl>
      <w:tblPr>
        <w:tblW w:w="8151" w:type="dxa"/>
        <w:tblInd w:w="98" w:type="dxa"/>
        <w:tblLook w:val="0000"/>
      </w:tblPr>
      <w:tblGrid>
        <w:gridCol w:w="1703"/>
        <w:gridCol w:w="1648"/>
        <w:gridCol w:w="1502"/>
        <w:gridCol w:w="1730"/>
        <w:gridCol w:w="1568"/>
      </w:tblGrid>
      <w:tr w:rsidR="0029696D" w:rsidRPr="007F1538" w:rsidTr="00726EC7">
        <w:tc>
          <w:tcPr>
            <w:tcW w:w="1703"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9696D" w:rsidRPr="007F1538" w:rsidRDefault="0029696D" w:rsidP="0029696D">
            <w:pPr>
              <w:rPr>
                <w:rFonts w:cs="Arial"/>
                <w:lang w:val="fr-FR" w:eastAsia="en-US"/>
              </w:rPr>
            </w:pPr>
            <w:r w:rsidRPr="007F1538">
              <w:rPr>
                <w:rFonts w:cs="Arial"/>
                <w:lang w:val="fr-FR" w:eastAsia="en-US"/>
              </w:rPr>
              <w:t> </w:t>
            </w:r>
          </w:p>
        </w:tc>
        <w:tc>
          <w:tcPr>
            <w:tcW w:w="1648"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9696D" w:rsidRPr="007F1538" w:rsidRDefault="00352EF9" w:rsidP="0029696D">
            <w:pPr>
              <w:jc w:val="center"/>
              <w:rPr>
                <w:rFonts w:cs="Arial"/>
                <w:lang w:val="fr-FR" w:eastAsia="en-US"/>
              </w:rPr>
            </w:pPr>
            <w:r w:rsidRPr="007F1538">
              <w:rPr>
                <w:rFonts w:cs="Arial"/>
                <w:lang w:val="fr-FR" w:eastAsia="en-US"/>
              </w:rPr>
              <w:t>2008</w:t>
            </w:r>
          </w:p>
        </w:tc>
        <w:tc>
          <w:tcPr>
            <w:tcW w:w="150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9696D" w:rsidRPr="007F1538" w:rsidRDefault="00352EF9" w:rsidP="0029696D">
            <w:pPr>
              <w:jc w:val="center"/>
              <w:rPr>
                <w:rFonts w:cs="Arial"/>
                <w:lang w:val="fr-FR" w:eastAsia="en-US"/>
              </w:rPr>
            </w:pPr>
            <w:r w:rsidRPr="007F1538">
              <w:rPr>
                <w:rFonts w:cs="Arial"/>
                <w:lang w:val="fr-FR" w:eastAsia="en-US"/>
              </w:rPr>
              <w:t>2009</w:t>
            </w:r>
          </w:p>
        </w:tc>
        <w:tc>
          <w:tcPr>
            <w:tcW w:w="3298" w:type="dxa"/>
            <w:gridSpan w:val="2"/>
            <w:tcBorders>
              <w:top w:val="single" w:sz="8" w:space="0" w:color="auto"/>
              <w:left w:val="nil"/>
              <w:bottom w:val="single" w:sz="8" w:space="0" w:color="auto"/>
              <w:right w:val="single" w:sz="8" w:space="0" w:color="000000"/>
            </w:tcBorders>
            <w:shd w:val="clear" w:color="auto" w:fill="auto"/>
            <w:vAlign w:val="bottom"/>
          </w:tcPr>
          <w:p w:rsidR="0029696D" w:rsidRPr="007F1538" w:rsidRDefault="00352EF9" w:rsidP="0029696D">
            <w:pPr>
              <w:jc w:val="center"/>
              <w:rPr>
                <w:rFonts w:cs="Arial"/>
                <w:lang w:val="fr-FR" w:eastAsia="en-US"/>
              </w:rPr>
            </w:pPr>
            <w:r w:rsidRPr="007F1538">
              <w:rPr>
                <w:rFonts w:cs="Arial"/>
                <w:lang w:val="fr-FR" w:eastAsia="en-US"/>
              </w:rPr>
              <w:t>2009</w:t>
            </w:r>
          </w:p>
        </w:tc>
      </w:tr>
      <w:tr w:rsidR="0029696D" w:rsidRPr="007F1538" w:rsidTr="00726EC7">
        <w:tc>
          <w:tcPr>
            <w:tcW w:w="1703" w:type="dxa"/>
            <w:vMerge/>
            <w:tcBorders>
              <w:top w:val="single" w:sz="8" w:space="0" w:color="auto"/>
              <w:left w:val="single" w:sz="8" w:space="0" w:color="auto"/>
              <w:bottom w:val="single" w:sz="8" w:space="0" w:color="000000"/>
              <w:right w:val="single" w:sz="8" w:space="0" w:color="auto"/>
            </w:tcBorders>
            <w:vAlign w:val="center"/>
          </w:tcPr>
          <w:p w:rsidR="0029696D" w:rsidRPr="007F1538" w:rsidRDefault="0029696D" w:rsidP="0029696D">
            <w:pPr>
              <w:rPr>
                <w:rFonts w:cs="Arial"/>
                <w:lang w:val="fr-FR" w:eastAsia="en-US"/>
              </w:rPr>
            </w:pPr>
          </w:p>
        </w:tc>
        <w:tc>
          <w:tcPr>
            <w:tcW w:w="1648" w:type="dxa"/>
            <w:vMerge/>
            <w:tcBorders>
              <w:top w:val="single" w:sz="8" w:space="0" w:color="auto"/>
              <w:left w:val="single" w:sz="8" w:space="0" w:color="auto"/>
              <w:bottom w:val="single" w:sz="8" w:space="0" w:color="000000"/>
              <w:right w:val="single" w:sz="8" w:space="0" w:color="auto"/>
            </w:tcBorders>
            <w:vAlign w:val="center"/>
          </w:tcPr>
          <w:p w:rsidR="0029696D" w:rsidRPr="007F1538" w:rsidRDefault="0029696D" w:rsidP="0029696D">
            <w:pPr>
              <w:rPr>
                <w:rFonts w:cs="Arial"/>
                <w:lang w:val="fr-FR" w:eastAsia="en-US"/>
              </w:rPr>
            </w:pPr>
          </w:p>
        </w:tc>
        <w:tc>
          <w:tcPr>
            <w:tcW w:w="1502" w:type="dxa"/>
            <w:vMerge/>
            <w:tcBorders>
              <w:top w:val="single" w:sz="8" w:space="0" w:color="auto"/>
              <w:left w:val="single" w:sz="8" w:space="0" w:color="auto"/>
              <w:bottom w:val="single" w:sz="8" w:space="0" w:color="000000"/>
              <w:right w:val="single" w:sz="8" w:space="0" w:color="auto"/>
            </w:tcBorders>
            <w:vAlign w:val="center"/>
          </w:tcPr>
          <w:p w:rsidR="0029696D" w:rsidRPr="007F1538" w:rsidRDefault="0029696D" w:rsidP="0029696D">
            <w:pPr>
              <w:rPr>
                <w:rFonts w:cs="Arial"/>
                <w:lang w:val="fr-FR" w:eastAsia="en-US"/>
              </w:rPr>
            </w:pPr>
          </w:p>
        </w:tc>
        <w:tc>
          <w:tcPr>
            <w:tcW w:w="1730" w:type="dxa"/>
            <w:tcBorders>
              <w:top w:val="nil"/>
              <w:left w:val="nil"/>
              <w:bottom w:val="single" w:sz="8" w:space="0" w:color="auto"/>
              <w:right w:val="single" w:sz="8" w:space="0" w:color="auto"/>
            </w:tcBorders>
            <w:shd w:val="clear" w:color="auto" w:fill="auto"/>
            <w:vAlign w:val="bottom"/>
          </w:tcPr>
          <w:p w:rsidR="0029696D" w:rsidRPr="007F1538" w:rsidRDefault="00726EC7" w:rsidP="00690B4E">
            <w:pPr>
              <w:jc w:val="center"/>
              <w:rPr>
                <w:rFonts w:cs="Arial"/>
                <w:lang w:val="fr-FR" w:eastAsia="en-US"/>
              </w:rPr>
            </w:pPr>
            <w:r w:rsidRPr="00726EC7">
              <w:rPr>
                <w:rFonts w:cs="Arial"/>
                <w:lang w:val="fr-FR" w:eastAsia="en-US"/>
              </w:rPr>
              <w:t>Couverture (abs.)</w:t>
            </w:r>
          </w:p>
        </w:tc>
        <w:tc>
          <w:tcPr>
            <w:tcW w:w="1568" w:type="dxa"/>
            <w:tcBorders>
              <w:top w:val="nil"/>
              <w:left w:val="nil"/>
              <w:bottom w:val="single" w:sz="8" w:space="0" w:color="auto"/>
              <w:right w:val="single" w:sz="8" w:space="0" w:color="auto"/>
            </w:tcBorders>
            <w:shd w:val="clear" w:color="auto" w:fill="auto"/>
            <w:vAlign w:val="bottom"/>
          </w:tcPr>
          <w:p w:rsidR="0029696D" w:rsidRPr="007F1538" w:rsidRDefault="00726EC7" w:rsidP="00690B4E">
            <w:pPr>
              <w:jc w:val="center"/>
              <w:rPr>
                <w:rFonts w:cs="Arial"/>
                <w:lang w:val="fr-FR" w:eastAsia="en-US"/>
              </w:rPr>
            </w:pPr>
            <w:r w:rsidRPr="00726EC7">
              <w:rPr>
                <w:rFonts w:cs="Arial"/>
                <w:lang w:val="fr-FR" w:eastAsia="en-US"/>
              </w:rPr>
              <w:t>Population</w:t>
            </w:r>
          </w:p>
        </w:tc>
      </w:tr>
      <w:tr w:rsidR="00352EF9" w:rsidRPr="007F1538" w:rsidTr="00726EC7">
        <w:tc>
          <w:tcPr>
            <w:tcW w:w="1703" w:type="dxa"/>
            <w:tcBorders>
              <w:top w:val="nil"/>
              <w:left w:val="single" w:sz="8" w:space="0" w:color="auto"/>
              <w:bottom w:val="single" w:sz="8" w:space="0" w:color="auto"/>
              <w:right w:val="single" w:sz="8" w:space="0" w:color="auto"/>
            </w:tcBorders>
            <w:shd w:val="clear" w:color="auto" w:fill="auto"/>
          </w:tcPr>
          <w:p w:rsidR="00352EF9" w:rsidRPr="007F1538" w:rsidRDefault="00726EC7" w:rsidP="00690B4E">
            <w:pPr>
              <w:rPr>
                <w:rFonts w:cs="Arial"/>
                <w:lang w:val="fr-FR" w:eastAsia="en-US"/>
              </w:rPr>
            </w:pPr>
            <w:r w:rsidRPr="00726EC7">
              <w:rPr>
                <w:rFonts w:cs="Arial"/>
                <w:lang w:val="fr-FR" w:eastAsia="en-US"/>
              </w:rPr>
              <w:t>&lt; 10 trav.</w:t>
            </w:r>
          </w:p>
        </w:tc>
        <w:tc>
          <w:tcPr>
            <w:tcW w:w="16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4,89%</w:t>
            </w:r>
          </w:p>
        </w:tc>
        <w:tc>
          <w:tcPr>
            <w:tcW w:w="1502"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16,69%</w:t>
            </w:r>
          </w:p>
        </w:tc>
        <w:tc>
          <w:tcPr>
            <w:tcW w:w="173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471</w:t>
            </w:r>
          </w:p>
        </w:tc>
        <w:tc>
          <w:tcPr>
            <w:tcW w:w="156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2822</w:t>
            </w:r>
          </w:p>
        </w:tc>
      </w:tr>
      <w:tr w:rsidR="00352EF9" w:rsidRPr="007F1538" w:rsidTr="00726EC7">
        <w:tc>
          <w:tcPr>
            <w:tcW w:w="1703" w:type="dxa"/>
            <w:tcBorders>
              <w:top w:val="nil"/>
              <w:left w:val="single" w:sz="8" w:space="0" w:color="auto"/>
              <w:bottom w:val="single" w:sz="8" w:space="0" w:color="auto"/>
              <w:right w:val="single" w:sz="8" w:space="0" w:color="auto"/>
            </w:tcBorders>
            <w:shd w:val="clear" w:color="auto" w:fill="auto"/>
          </w:tcPr>
          <w:p w:rsidR="00352EF9" w:rsidRPr="007F1538" w:rsidRDefault="00726EC7" w:rsidP="00690B4E">
            <w:pPr>
              <w:rPr>
                <w:rFonts w:cs="Arial"/>
                <w:lang w:val="fr-FR" w:eastAsia="en-US"/>
              </w:rPr>
            </w:pPr>
            <w:r w:rsidRPr="00726EC7">
              <w:rPr>
                <w:rFonts w:cs="Arial"/>
                <w:lang w:val="fr-FR" w:eastAsia="en-US"/>
              </w:rPr>
              <w:t>10-49 trav.</w:t>
            </w:r>
          </w:p>
        </w:tc>
        <w:tc>
          <w:tcPr>
            <w:tcW w:w="16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31,68%</w:t>
            </w:r>
          </w:p>
        </w:tc>
        <w:tc>
          <w:tcPr>
            <w:tcW w:w="1502"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33,52%</w:t>
            </w:r>
          </w:p>
        </w:tc>
        <w:tc>
          <w:tcPr>
            <w:tcW w:w="173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237</w:t>
            </w:r>
          </w:p>
        </w:tc>
        <w:tc>
          <w:tcPr>
            <w:tcW w:w="156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707</w:t>
            </w:r>
          </w:p>
        </w:tc>
      </w:tr>
      <w:tr w:rsidR="00352EF9" w:rsidRPr="007F1538" w:rsidTr="00726EC7">
        <w:tc>
          <w:tcPr>
            <w:tcW w:w="1703" w:type="dxa"/>
            <w:tcBorders>
              <w:top w:val="nil"/>
              <w:left w:val="single" w:sz="8" w:space="0" w:color="auto"/>
              <w:bottom w:val="single" w:sz="8" w:space="0" w:color="auto"/>
              <w:right w:val="single" w:sz="8" w:space="0" w:color="auto"/>
            </w:tcBorders>
            <w:shd w:val="clear" w:color="auto" w:fill="auto"/>
          </w:tcPr>
          <w:p w:rsidR="00352EF9" w:rsidRPr="007F1538" w:rsidRDefault="00726EC7" w:rsidP="00690B4E">
            <w:pPr>
              <w:rPr>
                <w:rFonts w:cs="Arial"/>
                <w:lang w:val="fr-FR" w:eastAsia="en-US"/>
              </w:rPr>
            </w:pPr>
            <w:r w:rsidRPr="00726EC7">
              <w:rPr>
                <w:rFonts w:cs="Arial"/>
                <w:lang w:val="fr-FR" w:eastAsia="en-US"/>
              </w:rPr>
              <w:t>50-99 trav.</w:t>
            </w:r>
          </w:p>
        </w:tc>
        <w:tc>
          <w:tcPr>
            <w:tcW w:w="16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92,59%</w:t>
            </w:r>
          </w:p>
        </w:tc>
        <w:tc>
          <w:tcPr>
            <w:tcW w:w="1502"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96,30%</w:t>
            </w:r>
          </w:p>
        </w:tc>
        <w:tc>
          <w:tcPr>
            <w:tcW w:w="173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104</w:t>
            </w:r>
          </w:p>
        </w:tc>
        <w:tc>
          <w:tcPr>
            <w:tcW w:w="156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108</w:t>
            </w:r>
          </w:p>
        </w:tc>
      </w:tr>
      <w:tr w:rsidR="00352EF9" w:rsidRPr="007F1538" w:rsidTr="00726EC7">
        <w:tc>
          <w:tcPr>
            <w:tcW w:w="1703" w:type="dxa"/>
            <w:tcBorders>
              <w:top w:val="nil"/>
              <w:left w:val="single" w:sz="8" w:space="0" w:color="auto"/>
              <w:bottom w:val="single" w:sz="8" w:space="0" w:color="auto"/>
              <w:right w:val="single" w:sz="8" w:space="0" w:color="auto"/>
            </w:tcBorders>
            <w:shd w:val="clear" w:color="auto" w:fill="auto"/>
          </w:tcPr>
          <w:p w:rsidR="00352EF9" w:rsidRPr="007F1538" w:rsidRDefault="00726EC7" w:rsidP="00690B4E">
            <w:pPr>
              <w:rPr>
                <w:rFonts w:cs="Arial"/>
                <w:lang w:val="fr-FR" w:eastAsia="en-US"/>
              </w:rPr>
            </w:pPr>
            <w:r w:rsidRPr="00726EC7">
              <w:rPr>
                <w:rFonts w:cs="Arial"/>
                <w:lang w:val="fr-FR" w:eastAsia="en-US"/>
              </w:rPr>
              <w:t>100 et + trav.</w:t>
            </w:r>
          </w:p>
        </w:tc>
        <w:tc>
          <w:tcPr>
            <w:tcW w:w="16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100,00%</w:t>
            </w:r>
          </w:p>
        </w:tc>
        <w:tc>
          <w:tcPr>
            <w:tcW w:w="1502"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100,00%</w:t>
            </w:r>
          </w:p>
        </w:tc>
        <w:tc>
          <w:tcPr>
            <w:tcW w:w="173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134</w:t>
            </w:r>
          </w:p>
        </w:tc>
        <w:tc>
          <w:tcPr>
            <w:tcW w:w="156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134</w:t>
            </w:r>
          </w:p>
        </w:tc>
      </w:tr>
      <w:tr w:rsidR="00352EF9" w:rsidRPr="007F1538" w:rsidTr="00726EC7">
        <w:tc>
          <w:tcPr>
            <w:tcW w:w="1703" w:type="dxa"/>
            <w:tcBorders>
              <w:top w:val="nil"/>
              <w:left w:val="single" w:sz="8" w:space="0" w:color="auto"/>
              <w:bottom w:val="single" w:sz="8" w:space="0" w:color="auto"/>
              <w:right w:val="single" w:sz="8" w:space="0" w:color="auto"/>
            </w:tcBorders>
            <w:shd w:val="clear" w:color="auto" w:fill="auto"/>
          </w:tcPr>
          <w:p w:rsidR="00352EF9" w:rsidRPr="007F1538" w:rsidRDefault="00726EC7" w:rsidP="00690B4E">
            <w:pPr>
              <w:rPr>
                <w:rFonts w:cs="Arial"/>
                <w:i/>
                <w:iCs/>
                <w:lang w:val="fr-FR" w:eastAsia="en-US"/>
              </w:rPr>
            </w:pPr>
            <w:r w:rsidRPr="00726EC7">
              <w:rPr>
                <w:rFonts w:cs="Arial"/>
                <w:i/>
                <w:iCs/>
                <w:lang w:val="fr-FR" w:eastAsia="en-US"/>
              </w:rPr>
              <w:t>Total</w:t>
            </w:r>
          </w:p>
        </w:tc>
        <w:tc>
          <w:tcPr>
            <w:tcW w:w="16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15,80%</w:t>
            </w:r>
          </w:p>
        </w:tc>
        <w:tc>
          <w:tcPr>
            <w:tcW w:w="1502"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25,09%</w:t>
            </w:r>
          </w:p>
        </w:tc>
        <w:tc>
          <w:tcPr>
            <w:tcW w:w="173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946</w:t>
            </w:r>
          </w:p>
        </w:tc>
        <w:tc>
          <w:tcPr>
            <w:tcW w:w="156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i/>
                <w:iCs/>
                <w:lang w:val="fr-FR"/>
              </w:rPr>
            </w:pPr>
            <w:r w:rsidRPr="007F1538">
              <w:rPr>
                <w:rFonts w:cs="Arial"/>
                <w:i/>
                <w:iCs/>
                <w:lang w:val="fr-FR"/>
              </w:rPr>
              <w:t>3771</w:t>
            </w:r>
          </w:p>
        </w:tc>
      </w:tr>
    </w:tbl>
    <w:p w:rsidR="008125A5" w:rsidRPr="007F1538" w:rsidRDefault="008125A5" w:rsidP="00174E07">
      <w:pPr>
        <w:rPr>
          <w:rFonts w:cs="Arial"/>
          <w:lang w:val="fr-FR"/>
        </w:rPr>
      </w:pPr>
    </w:p>
    <w:p w:rsidR="008125A5" w:rsidRPr="007F1538" w:rsidRDefault="00726EC7" w:rsidP="00285E1C">
      <w:pPr>
        <w:spacing w:after="60"/>
        <w:rPr>
          <w:rFonts w:cs="Arial"/>
          <w:lang w:val="fr-FR"/>
        </w:rPr>
      </w:pPr>
      <w:r w:rsidRPr="00285E1C">
        <w:rPr>
          <w:rFonts w:cs="Arial"/>
          <w:lang w:val="fr-FR"/>
        </w:rPr>
        <w:t>Tableau g-Vl :</w:t>
      </w:r>
      <w:r w:rsidR="00D1725B" w:rsidRPr="007F1538">
        <w:rPr>
          <w:rFonts w:cs="Arial"/>
          <w:lang w:val="fr-FR"/>
        </w:rPr>
        <w:t xml:space="preserve"> </w:t>
      </w:r>
      <w:r w:rsidR="00285E1C" w:rsidRPr="00285E1C">
        <w:rPr>
          <w:rFonts w:cs="Arial"/>
          <w:lang w:val="fr-FR"/>
        </w:rPr>
        <w:t>couverture employeurs en % du sous-secteur en Flandre</w:t>
      </w:r>
    </w:p>
    <w:tbl>
      <w:tblPr>
        <w:tblW w:w="9119" w:type="dxa"/>
        <w:tblInd w:w="98" w:type="dxa"/>
        <w:tblLook w:val="0000"/>
      </w:tblPr>
      <w:tblGrid>
        <w:gridCol w:w="5865"/>
        <w:gridCol w:w="1121"/>
        <w:gridCol w:w="1121"/>
        <w:gridCol w:w="1081"/>
      </w:tblGrid>
      <w:tr w:rsidR="0029696D" w:rsidRPr="007F1538" w:rsidTr="00285E1C">
        <w:tc>
          <w:tcPr>
            <w:tcW w:w="6391" w:type="dxa"/>
            <w:tcBorders>
              <w:top w:val="single" w:sz="8" w:space="0" w:color="auto"/>
              <w:left w:val="single" w:sz="8" w:space="0" w:color="auto"/>
              <w:bottom w:val="single" w:sz="8" w:space="0" w:color="auto"/>
              <w:right w:val="single" w:sz="8" w:space="0" w:color="auto"/>
            </w:tcBorders>
            <w:shd w:val="clear" w:color="auto" w:fill="auto"/>
            <w:noWrap/>
          </w:tcPr>
          <w:p w:rsidR="0029696D" w:rsidRPr="007F1538" w:rsidRDefault="00285E1C" w:rsidP="00690B4E">
            <w:pPr>
              <w:rPr>
                <w:rFonts w:cs="Arial"/>
                <w:lang w:val="fr-FR" w:eastAsia="en-US"/>
              </w:rPr>
            </w:pPr>
            <w:r w:rsidRPr="00285E1C">
              <w:rPr>
                <w:rFonts w:cs="Arial"/>
                <w:lang w:val="fr-FR" w:eastAsia="en-US"/>
              </w:rPr>
              <w:t>Sous-secteur (selon code NACE)</w:t>
            </w:r>
          </w:p>
        </w:tc>
        <w:tc>
          <w:tcPr>
            <w:tcW w:w="895" w:type="dxa"/>
            <w:tcBorders>
              <w:top w:val="single" w:sz="8" w:space="0" w:color="auto"/>
              <w:left w:val="nil"/>
              <w:bottom w:val="single" w:sz="8" w:space="0" w:color="auto"/>
              <w:right w:val="single" w:sz="8" w:space="0" w:color="auto"/>
            </w:tcBorders>
            <w:shd w:val="clear" w:color="auto" w:fill="auto"/>
            <w:noWrap/>
            <w:vAlign w:val="bottom"/>
          </w:tcPr>
          <w:p w:rsidR="0029696D" w:rsidRPr="007F1538" w:rsidRDefault="00285E1C" w:rsidP="00690B4E">
            <w:pPr>
              <w:jc w:val="center"/>
              <w:rPr>
                <w:rFonts w:cs="Arial"/>
                <w:lang w:val="fr-FR" w:eastAsia="en-US"/>
              </w:rPr>
            </w:pPr>
            <w:r w:rsidRPr="00285E1C">
              <w:rPr>
                <w:rFonts w:cs="Arial"/>
                <w:lang w:val="fr-FR" w:eastAsia="en-US"/>
              </w:rPr>
              <w:t>Couverture (%)</w:t>
            </w:r>
          </w:p>
        </w:tc>
        <w:tc>
          <w:tcPr>
            <w:tcW w:w="783" w:type="dxa"/>
            <w:tcBorders>
              <w:top w:val="single" w:sz="8" w:space="0" w:color="auto"/>
              <w:left w:val="nil"/>
              <w:bottom w:val="single" w:sz="8" w:space="0" w:color="auto"/>
              <w:right w:val="single" w:sz="8" w:space="0" w:color="auto"/>
            </w:tcBorders>
            <w:shd w:val="clear" w:color="auto" w:fill="auto"/>
            <w:noWrap/>
            <w:vAlign w:val="bottom"/>
          </w:tcPr>
          <w:p w:rsidR="0029696D" w:rsidRPr="007F1538" w:rsidRDefault="00285E1C" w:rsidP="00690B4E">
            <w:pPr>
              <w:jc w:val="center"/>
              <w:rPr>
                <w:rFonts w:cs="Arial"/>
                <w:lang w:val="fr-FR" w:eastAsia="en-US"/>
              </w:rPr>
            </w:pPr>
            <w:r w:rsidRPr="00285E1C">
              <w:rPr>
                <w:rFonts w:cs="Arial"/>
                <w:lang w:val="fr-FR" w:eastAsia="en-US"/>
              </w:rPr>
              <w:t>Couverture (abs.)</w:t>
            </w:r>
          </w:p>
        </w:tc>
        <w:tc>
          <w:tcPr>
            <w:tcW w:w="1050" w:type="dxa"/>
            <w:tcBorders>
              <w:top w:val="single" w:sz="8" w:space="0" w:color="auto"/>
              <w:left w:val="nil"/>
              <w:bottom w:val="single" w:sz="8" w:space="0" w:color="auto"/>
              <w:right w:val="single" w:sz="8" w:space="0" w:color="auto"/>
            </w:tcBorders>
            <w:shd w:val="clear" w:color="auto" w:fill="auto"/>
            <w:noWrap/>
            <w:vAlign w:val="bottom"/>
          </w:tcPr>
          <w:p w:rsidR="0029696D" w:rsidRPr="007F1538" w:rsidRDefault="00285E1C" w:rsidP="00690B4E">
            <w:pPr>
              <w:jc w:val="center"/>
              <w:rPr>
                <w:rFonts w:cs="Arial"/>
                <w:lang w:val="fr-FR" w:eastAsia="en-US"/>
              </w:rPr>
            </w:pPr>
            <w:r w:rsidRPr="00285E1C">
              <w:rPr>
                <w:rFonts w:cs="Arial"/>
                <w:lang w:val="fr-FR" w:eastAsia="en-US"/>
              </w:rPr>
              <w:t>Population</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15.1 </w:t>
            </w:r>
            <w:r w:rsidR="00285E1C" w:rsidRPr="00285E1C">
              <w:rPr>
                <w:rFonts w:cs="Arial"/>
                <w:lang w:val="fr-FR" w:eastAsia="en-US"/>
              </w:rPr>
              <w:t>Viande et produits de viande (abattoirs inclus)</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27,68%</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106</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383</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15.2 </w:t>
            </w:r>
            <w:r w:rsidR="00285E1C" w:rsidRPr="00285E1C">
              <w:rPr>
                <w:rFonts w:cs="Arial"/>
                <w:lang w:val="fr-FR" w:eastAsia="en-US"/>
              </w:rPr>
              <w:t>Poisson et produits à base de poisson</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28,57%</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8</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28</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15.3 </w:t>
            </w:r>
            <w:r w:rsidR="00285E1C" w:rsidRPr="00285E1C">
              <w:rPr>
                <w:rFonts w:cs="Arial"/>
                <w:lang w:val="fr-FR" w:eastAsia="en-US"/>
              </w:rPr>
              <w:t>Transformation et conservation des fruits et légumes</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46,34%</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38</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82</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15.4 </w:t>
            </w:r>
            <w:r w:rsidR="00285E1C" w:rsidRPr="00285E1C">
              <w:rPr>
                <w:rFonts w:cs="Arial"/>
                <w:lang w:val="fr-FR" w:eastAsia="en-US"/>
              </w:rPr>
              <w:t>Huiles et graisses animales et végétales</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50,00%</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8</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16</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15.5 </w:t>
            </w:r>
            <w:r w:rsidR="00285E1C" w:rsidRPr="00285E1C">
              <w:rPr>
                <w:rFonts w:cs="Arial"/>
                <w:lang w:val="fr-FR" w:eastAsia="en-US"/>
              </w:rPr>
              <w:t>Produits laitiers</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44,68%</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42</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94</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15.6 </w:t>
            </w:r>
            <w:r w:rsidR="00285E1C" w:rsidRPr="00285E1C">
              <w:rPr>
                <w:rFonts w:cs="Arial"/>
                <w:lang w:val="fr-FR" w:eastAsia="en-US"/>
              </w:rPr>
              <w:t>Amidon et produits amylacés</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39,13%</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18</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46</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15.7 </w:t>
            </w:r>
            <w:r w:rsidR="00285E1C" w:rsidRPr="00285E1C">
              <w:rPr>
                <w:rFonts w:cs="Arial"/>
                <w:lang w:val="fr-FR" w:eastAsia="en-US"/>
              </w:rPr>
              <w:t>Aliments pour animaux</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41,35%</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55</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133</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15.8 </w:t>
            </w:r>
            <w:r w:rsidR="00285E1C" w:rsidRPr="00285E1C">
              <w:rPr>
                <w:rFonts w:cs="Arial"/>
                <w:lang w:val="fr-FR" w:eastAsia="en-US"/>
              </w:rPr>
              <w:t>Autres produits alimentaires (entre autres : pain, pâtisserie, biscuits, céréales et pâtes alimentaires, cacao, sucre, …)</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21,53%</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623</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2894</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15.9 </w:t>
            </w:r>
            <w:r w:rsidR="00285E1C" w:rsidRPr="00285E1C">
              <w:rPr>
                <w:rFonts w:cs="Arial"/>
                <w:lang w:val="fr-FR" w:eastAsia="en-US"/>
              </w:rPr>
              <w:t>Boissons (brasseries, eau, limonades, …)</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50,53%</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48</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95</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285E1C" w:rsidP="00690B4E">
            <w:pPr>
              <w:rPr>
                <w:rFonts w:cs="Arial"/>
                <w:i/>
                <w:iCs/>
                <w:lang w:val="fr-FR" w:eastAsia="en-US"/>
              </w:rPr>
            </w:pPr>
            <w:r w:rsidRPr="00285E1C">
              <w:rPr>
                <w:rFonts w:cs="Arial"/>
                <w:i/>
                <w:iCs/>
                <w:lang w:val="fr-FR" w:eastAsia="en-US"/>
              </w:rPr>
              <w:t>Total</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25,09%</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946</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3771</w:t>
            </w:r>
          </w:p>
        </w:tc>
      </w:tr>
      <w:tr w:rsidR="00352EF9" w:rsidRPr="007F1538" w:rsidTr="00285E1C">
        <w:tc>
          <w:tcPr>
            <w:tcW w:w="6391" w:type="dxa"/>
            <w:tcBorders>
              <w:top w:val="nil"/>
              <w:left w:val="single" w:sz="8" w:space="0" w:color="auto"/>
              <w:bottom w:val="single" w:sz="8" w:space="0" w:color="auto"/>
              <w:right w:val="single" w:sz="8" w:space="0" w:color="auto"/>
            </w:tcBorders>
            <w:shd w:val="clear" w:color="auto" w:fill="auto"/>
            <w:noWrap/>
          </w:tcPr>
          <w:p w:rsidR="00352EF9" w:rsidRPr="007F1538" w:rsidRDefault="00285E1C" w:rsidP="00690B4E">
            <w:pPr>
              <w:rPr>
                <w:rFonts w:cs="Arial"/>
                <w:i/>
                <w:iCs/>
                <w:lang w:val="fr-FR" w:eastAsia="en-US"/>
              </w:rPr>
            </w:pPr>
            <w:r w:rsidRPr="00285E1C">
              <w:rPr>
                <w:rFonts w:cs="Arial"/>
                <w:i/>
                <w:iCs/>
                <w:lang w:val="fr-FR" w:eastAsia="en-US"/>
              </w:rPr>
              <w:t>Total sans les boulangers</w:t>
            </w:r>
          </w:p>
        </w:tc>
        <w:tc>
          <w:tcPr>
            <w:tcW w:w="895"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37,21%</w:t>
            </w:r>
          </w:p>
        </w:tc>
        <w:tc>
          <w:tcPr>
            <w:tcW w:w="783"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483</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pPr>
              <w:jc w:val="center"/>
              <w:rPr>
                <w:rFonts w:cs="Arial"/>
                <w:lang w:val="fr-FR"/>
              </w:rPr>
            </w:pPr>
            <w:r w:rsidRPr="007F1538">
              <w:rPr>
                <w:rFonts w:cs="Arial"/>
                <w:lang w:val="fr-FR"/>
              </w:rPr>
              <w:t>1298</w:t>
            </w:r>
          </w:p>
        </w:tc>
      </w:tr>
    </w:tbl>
    <w:p w:rsidR="00A4337C" w:rsidRPr="007F1538" w:rsidRDefault="00A4337C" w:rsidP="00174E07">
      <w:pPr>
        <w:rPr>
          <w:rFonts w:cs="Arial"/>
          <w:lang w:val="fr-FR"/>
        </w:rPr>
      </w:pPr>
    </w:p>
    <w:p w:rsidR="00A4337C" w:rsidRPr="007F1538" w:rsidRDefault="00A4337C" w:rsidP="00174E07">
      <w:pPr>
        <w:rPr>
          <w:rFonts w:cs="Arial"/>
          <w:lang w:val="fr-FR"/>
        </w:rPr>
      </w:pPr>
    </w:p>
    <w:p w:rsidR="00A4337C" w:rsidRPr="007F1538" w:rsidRDefault="006A03C6" w:rsidP="00285E1C">
      <w:pPr>
        <w:spacing w:after="60"/>
        <w:rPr>
          <w:rFonts w:cs="Arial"/>
          <w:lang w:val="fr-FR"/>
        </w:rPr>
      </w:pPr>
      <w:r w:rsidRPr="007F1538">
        <w:rPr>
          <w:rFonts w:cs="Arial"/>
          <w:lang w:val="fr-FR"/>
        </w:rPr>
        <w:br w:type="page"/>
      </w:r>
      <w:r w:rsidR="00285E1C" w:rsidRPr="00285E1C">
        <w:rPr>
          <w:rFonts w:cs="Arial"/>
          <w:lang w:val="fr-FR"/>
        </w:rPr>
        <w:lastRenderedPageBreak/>
        <w:t>Tableau h-Vl :</w:t>
      </w:r>
      <w:r w:rsidR="00A4337C" w:rsidRPr="007F1538">
        <w:rPr>
          <w:rFonts w:cs="Arial"/>
          <w:lang w:val="fr-FR"/>
        </w:rPr>
        <w:t xml:space="preserve"> </w:t>
      </w:r>
      <w:r w:rsidR="00285E1C" w:rsidRPr="00285E1C">
        <w:rPr>
          <w:rFonts w:cs="Arial"/>
          <w:lang w:val="fr-FR"/>
        </w:rPr>
        <w:t>répartition de la portée en % des travailleurs selon le statut en Flandre</w:t>
      </w:r>
    </w:p>
    <w:tbl>
      <w:tblPr>
        <w:tblW w:w="7956" w:type="dxa"/>
        <w:tblInd w:w="98" w:type="dxa"/>
        <w:tblLook w:val="0000"/>
      </w:tblPr>
      <w:tblGrid>
        <w:gridCol w:w="1731"/>
        <w:gridCol w:w="1603"/>
        <w:gridCol w:w="1390"/>
        <w:gridCol w:w="1734"/>
        <w:gridCol w:w="1498"/>
      </w:tblGrid>
      <w:tr w:rsidR="00285E1C" w:rsidRPr="007F1538" w:rsidTr="00285E1C">
        <w:tc>
          <w:tcPr>
            <w:tcW w:w="1731" w:type="dxa"/>
            <w:tcBorders>
              <w:top w:val="single" w:sz="8" w:space="0" w:color="auto"/>
              <w:left w:val="single" w:sz="8" w:space="0" w:color="auto"/>
              <w:bottom w:val="double" w:sz="6" w:space="0" w:color="auto"/>
              <w:right w:val="double" w:sz="6" w:space="0" w:color="auto"/>
            </w:tcBorders>
            <w:shd w:val="clear" w:color="auto" w:fill="auto"/>
            <w:vAlign w:val="bottom"/>
          </w:tcPr>
          <w:p w:rsidR="00EA48C9" w:rsidRPr="007F1538" w:rsidRDefault="00285E1C" w:rsidP="00690B4E">
            <w:pPr>
              <w:rPr>
                <w:rFonts w:cs="Arial"/>
                <w:lang w:val="fr-FR" w:eastAsia="en-US"/>
              </w:rPr>
            </w:pPr>
            <w:r w:rsidRPr="00285E1C">
              <w:rPr>
                <w:rFonts w:cs="Arial"/>
                <w:lang w:val="fr-FR" w:eastAsia="en-US"/>
              </w:rPr>
              <w:t>Statut</w:t>
            </w:r>
          </w:p>
        </w:tc>
        <w:tc>
          <w:tcPr>
            <w:tcW w:w="1603"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AD6341" w:rsidP="00690B4E">
            <w:pPr>
              <w:jc w:val="center"/>
              <w:rPr>
                <w:rFonts w:cs="Arial"/>
                <w:lang w:val="fr-FR" w:eastAsia="en-US"/>
              </w:rPr>
            </w:pPr>
            <w:r w:rsidRPr="00AD6341">
              <w:rPr>
                <w:rFonts w:cs="Arial"/>
                <w:lang w:val="fr-FR" w:eastAsia="en-US"/>
              </w:rPr>
              <w:t>Couverture de l’IFP e</w:t>
            </w:r>
            <w:r w:rsidR="00285E1C" w:rsidRPr="00AD6341">
              <w:rPr>
                <w:rFonts w:cs="Arial"/>
                <w:lang w:val="fr-FR" w:eastAsia="en-US"/>
              </w:rPr>
              <w:t>n 2008</w:t>
            </w:r>
          </w:p>
        </w:tc>
        <w:tc>
          <w:tcPr>
            <w:tcW w:w="1390"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AD6341">
              <w:rPr>
                <w:rFonts w:cs="Arial"/>
                <w:lang w:val="fr-FR" w:eastAsia="en-US"/>
              </w:rPr>
              <w:t xml:space="preserve">Couverture de l’IFP </w:t>
            </w:r>
            <w:r w:rsidR="00AD6341" w:rsidRPr="00AD6341">
              <w:rPr>
                <w:rFonts w:cs="Arial"/>
                <w:lang w:val="fr-FR" w:eastAsia="en-US"/>
              </w:rPr>
              <w:t>e</w:t>
            </w:r>
            <w:r w:rsidRPr="00AD6341">
              <w:rPr>
                <w:rFonts w:cs="Arial"/>
                <w:lang w:val="fr-FR" w:eastAsia="en-US"/>
              </w:rPr>
              <w:t>n 2009</w:t>
            </w:r>
          </w:p>
        </w:tc>
        <w:tc>
          <w:tcPr>
            <w:tcW w:w="1734"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AD6341">
              <w:rPr>
                <w:rFonts w:cs="Arial"/>
                <w:lang w:val="fr-FR" w:eastAsia="en-US"/>
              </w:rPr>
              <w:t>Travailleurs</w:t>
            </w:r>
          </w:p>
        </w:tc>
        <w:tc>
          <w:tcPr>
            <w:tcW w:w="1498"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285E1C">
              <w:rPr>
                <w:rFonts w:cs="Arial"/>
                <w:lang w:val="fr-FR" w:eastAsia="en-US"/>
              </w:rPr>
              <w:t>Population</w:t>
            </w:r>
          </w:p>
        </w:tc>
      </w:tr>
      <w:tr w:rsidR="00285E1C" w:rsidRPr="007F1538" w:rsidTr="00285E1C">
        <w:tc>
          <w:tcPr>
            <w:tcW w:w="1731"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Ouvrier</w:t>
            </w:r>
          </w:p>
        </w:tc>
        <w:tc>
          <w:tcPr>
            <w:tcW w:w="1603"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14,79%</w:t>
            </w:r>
          </w:p>
        </w:tc>
        <w:tc>
          <w:tcPr>
            <w:tcW w:w="139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18,96%</w:t>
            </w:r>
          </w:p>
        </w:tc>
        <w:tc>
          <w:tcPr>
            <w:tcW w:w="1734"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7.935</w:t>
            </w:r>
          </w:p>
        </w:tc>
        <w:tc>
          <w:tcPr>
            <w:tcW w:w="149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41.844</w:t>
            </w:r>
          </w:p>
        </w:tc>
      </w:tr>
      <w:tr w:rsidR="00285E1C" w:rsidRPr="007F1538" w:rsidTr="00285E1C">
        <w:tc>
          <w:tcPr>
            <w:tcW w:w="1731"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Employé</w:t>
            </w:r>
          </w:p>
        </w:tc>
        <w:tc>
          <w:tcPr>
            <w:tcW w:w="1603"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14,77%</w:t>
            </w:r>
          </w:p>
        </w:tc>
        <w:tc>
          <w:tcPr>
            <w:tcW w:w="139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19,36%</w:t>
            </w:r>
          </w:p>
        </w:tc>
        <w:tc>
          <w:tcPr>
            <w:tcW w:w="1734"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4.173</w:t>
            </w:r>
          </w:p>
        </w:tc>
        <w:tc>
          <w:tcPr>
            <w:tcW w:w="149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21.550</w:t>
            </w:r>
          </w:p>
        </w:tc>
      </w:tr>
      <w:tr w:rsidR="00285E1C" w:rsidRPr="007F1538" w:rsidTr="00285E1C">
        <w:tc>
          <w:tcPr>
            <w:tcW w:w="1731"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i/>
                <w:iCs/>
                <w:lang w:val="fr-FR" w:eastAsia="en-US"/>
              </w:rPr>
            </w:pPr>
            <w:r w:rsidRPr="00285E1C">
              <w:rPr>
                <w:rFonts w:cs="Arial"/>
                <w:i/>
                <w:iCs/>
                <w:lang w:val="fr-FR" w:eastAsia="en-US"/>
              </w:rPr>
              <w:t>Total</w:t>
            </w:r>
          </w:p>
        </w:tc>
        <w:tc>
          <w:tcPr>
            <w:tcW w:w="1603"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14,78%</w:t>
            </w:r>
          </w:p>
        </w:tc>
        <w:tc>
          <w:tcPr>
            <w:tcW w:w="139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19,10%</w:t>
            </w:r>
          </w:p>
        </w:tc>
        <w:tc>
          <w:tcPr>
            <w:tcW w:w="1734"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12.108</w:t>
            </w:r>
          </w:p>
        </w:tc>
        <w:tc>
          <w:tcPr>
            <w:tcW w:w="149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63.394</w:t>
            </w:r>
          </w:p>
        </w:tc>
      </w:tr>
    </w:tbl>
    <w:p w:rsidR="00A4337C" w:rsidRPr="007F1538" w:rsidRDefault="00A4337C" w:rsidP="00A4337C">
      <w:pPr>
        <w:rPr>
          <w:rFonts w:cs="Arial"/>
          <w:lang w:val="fr-FR"/>
        </w:rPr>
      </w:pPr>
    </w:p>
    <w:p w:rsidR="00A4337C" w:rsidRPr="007F1538" w:rsidRDefault="00285E1C" w:rsidP="00285E1C">
      <w:pPr>
        <w:spacing w:after="60"/>
        <w:rPr>
          <w:rFonts w:cs="Arial"/>
          <w:lang w:val="fr-FR"/>
        </w:rPr>
      </w:pPr>
      <w:r w:rsidRPr="00285E1C">
        <w:rPr>
          <w:rFonts w:cs="Arial"/>
          <w:lang w:val="fr-FR"/>
        </w:rPr>
        <w:t>Tableau i-Vl :</w:t>
      </w:r>
      <w:r w:rsidR="00A4337C" w:rsidRPr="007F1538">
        <w:rPr>
          <w:rFonts w:cs="Arial"/>
          <w:lang w:val="fr-FR"/>
        </w:rPr>
        <w:t xml:space="preserve"> </w:t>
      </w:r>
      <w:r w:rsidRPr="00285E1C">
        <w:rPr>
          <w:rFonts w:cs="Arial"/>
          <w:lang w:val="fr-FR"/>
        </w:rPr>
        <w:t>répartition en % des travailleurs touchés en fonction du genre en Flandre</w:t>
      </w:r>
    </w:p>
    <w:tbl>
      <w:tblPr>
        <w:tblW w:w="7955" w:type="dxa"/>
        <w:tblInd w:w="98" w:type="dxa"/>
        <w:tblLook w:val="0000"/>
      </w:tblPr>
      <w:tblGrid>
        <w:gridCol w:w="1725"/>
        <w:gridCol w:w="1604"/>
        <w:gridCol w:w="1391"/>
        <w:gridCol w:w="1737"/>
        <w:gridCol w:w="1498"/>
      </w:tblGrid>
      <w:tr w:rsidR="00EA48C9" w:rsidRPr="007F1538" w:rsidTr="00285E1C">
        <w:tc>
          <w:tcPr>
            <w:tcW w:w="1725" w:type="dxa"/>
            <w:tcBorders>
              <w:top w:val="single" w:sz="8" w:space="0" w:color="auto"/>
              <w:left w:val="single" w:sz="8" w:space="0" w:color="auto"/>
              <w:bottom w:val="double" w:sz="6" w:space="0" w:color="auto"/>
              <w:right w:val="double" w:sz="6" w:space="0" w:color="auto"/>
            </w:tcBorders>
            <w:shd w:val="clear" w:color="auto" w:fill="auto"/>
            <w:vAlign w:val="bottom"/>
          </w:tcPr>
          <w:p w:rsidR="00EA48C9" w:rsidRPr="007F1538" w:rsidRDefault="00285E1C" w:rsidP="00690B4E">
            <w:pPr>
              <w:rPr>
                <w:rFonts w:cs="Arial"/>
                <w:lang w:val="fr-FR" w:eastAsia="en-US"/>
              </w:rPr>
            </w:pPr>
            <w:r w:rsidRPr="00285E1C">
              <w:rPr>
                <w:rFonts w:cs="Arial"/>
                <w:lang w:val="fr-FR" w:eastAsia="en-US"/>
              </w:rPr>
              <w:t>Genre</w:t>
            </w:r>
          </w:p>
        </w:tc>
        <w:tc>
          <w:tcPr>
            <w:tcW w:w="1604"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AD6341">
              <w:rPr>
                <w:rFonts w:cs="Arial"/>
                <w:lang w:val="fr-FR" w:eastAsia="en-US"/>
              </w:rPr>
              <w:t xml:space="preserve">Couverture de l’IFP </w:t>
            </w:r>
            <w:r w:rsidR="00AD6341" w:rsidRPr="00AD6341">
              <w:rPr>
                <w:rFonts w:cs="Arial"/>
                <w:lang w:val="fr-FR" w:eastAsia="en-US"/>
              </w:rPr>
              <w:t>e</w:t>
            </w:r>
            <w:r w:rsidRPr="00AD6341">
              <w:rPr>
                <w:rFonts w:cs="Arial"/>
                <w:lang w:val="fr-FR" w:eastAsia="en-US"/>
              </w:rPr>
              <w:t>n 2008</w:t>
            </w:r>
          </w:p>
        </w:tc>
        <w:tc>
          <w:tcPr>
            <w:tcW w:w="1391"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AD6341">
              <w:rPr>
                <w:rFonts w:cs="Arial"/>
                <w:lang w:val="fr-FR" w:eastAsia="en-US"/>
              </w:rPr>
              <w:t xml:space="preserve">Couverture de l’IFP </w:t>
            </w:r>
            <w:r w:rsidR="00AD6341" w:rsidRPr="00AD6341">
              <w:rPr>
                <w:rFonts w:cs="Arial"/>
                <w:lang w:val="fr-FR" w:eastAsia="en-US"/>
              </w:rPr>
              <w:t>e</w:t>
            </w:r>
            <w:r w:rsidRPr="00AD6341">
              <w:rPr>
                <w:rFonts w:cs="Arial"/>
                <w:lang w:val="fr-FR" w:eastAsia="en-US"/>
              </w:rPr>
              <w:t>n 2009</w:t>
            </w:r>
          </w:p>
        </w:tc>
        <w:tc>
          <w:tcPr>
            <w:tcW w:w="1737"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285E1C">
              <w:rPr>
                <w:rFonts w:cs="Arial"/>
                <w:lang w:val="fr-FR" w:eastAsia="en-US"/>
              </w:rPr>
              <w:t>Travailleurs</w:t>
            </w:r>
          </w:p>
        </w:tc>
        <w:tc>
          <w:tcPr>
            <w:tcW w:w="1498" w:type="dxa"/>
            <w:tcBorders>
              <w:top w:val="single" w:sz="8" w:space="0" w:color="auto"/>
              <w:left w:val="nil"/>
              <w:bottom w:val="double" w:sz="6" w:space="0" w:color="auto"/>
              <w:right w:val="single" w:sz="8" w:space="0" w:color="auto"/>
            </w:tcBorders>
            <w:shd w:val="clear" w:color="auto" w:fill="auto"/>
            <w:vAlign w:val="bottom"/>
          </w:tcPr>
          <w:p w:rsidR="00EA48C9" w:rsidRPr="007F1538" w:rsidRDefault="00285E1C" w:rsidP="00690B4E">
            <w:pPr>
              <w:jc w:val="center"/>
              <w:rPr>
                <w:rFonts w:cs="Arial"/>
                <w:lang w:val="fr-FR" w:eastAsia="en-US"/>
              </w:rPr>
            </w:pPr>
            <w:r w:rsidRPr="00285E1C">
              <w:rPr>
                <w:rFonts w:cs="Arial"/>
                <w:lang w:val="fr-FR" w:eastAsia="en-US"/>
              </w:rPr>
              <w:t>Population</w:t>
            </w:r>
          </w:p>
        </w:tc>
      </w:tr>
      <w:tr w:rsidR="00352EF9" w:rsidRPr="007F1538" w:rsidTr="00285E1C">
        <w:tc>
          <w:tcPr>
            <w:tcW w:w="1725"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Femme</w:t>
            </w:r>
          </w:p>
        </w:tc>
        <w:tc>
          <w:tcPr>
            <w:tcW w:w="1604"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10,11%</w:t>
            </w:r>
          </w:p>
        </w:tc>
        <w:tc>
          <w:tcPr>
            <w:tcW w:w="1391"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14,96%</w:t>
            </w:r>
          </w:p>
        </w:tc>
        <w:tc>
          <w:tcPr>
            <w:tcW w:w="1737"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3.554</w:t>
            </w:r>
          </w:p>
        </w:tc>
        <w:tc>
          <w:tcPr>
            <w:tcW w:w="149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23.758</w:t>
            </w:r>
          </w:p>
        </w:tc>
      </w:tr>
      <w:tr w:rsidR="00352EF9" w:rsidRPr="007F1538" w:rsidTr="00285E1C">
        <w:tc>
          <w:tcPr>
            <w:tcW w:w="1725"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Homme</w:t>
            </w:r>
          </w:p>
        </w:tc>
        <w:tc>
          <w:tcPr>
            <w:tcW w:w="1604"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17,58%</w:t>
            </w:r>
          </w:p>
        </w:tc>
        <w:tc>
          <w:tcPr>
            <w:tcW w:w="1391"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21,58%</w:t>
            </w:r>
          </w:p>
        </w:tc>
        <w:tc>
          <w:tcPr>
            <w:tcW w:w="1737"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8.554</w:t>
            </w:r>
          </w:p>
        </w:tc>
        <w:tc>
          <w:tcPr>
            <w:tcW w:w="149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39.636</w:t>
            </w:r>
          </w:p>
        </w:tc>
      </w:tr>
      <w:tr w:rsidR="00352EF9" w:rsidRPr="007F1538" w:rsidTr="00285E1C">
        <w:tc>
          <w:tcPr>
            <w:tcW w:w="1725"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i/>
                <w:lang w:val="fr-FR" w:eastAsia="en-US"/>
              </w:rPr>
            </w:pPr>
            <w:r w:rsidRPr="00285E1C">
              <w:rPr>
                <w:rFonts w:cs="Arial"/>
                <w:i/>
                <w:lang w:val="fr-FR" w:eastAsia="en-US"/>
              </w:rPr>
              <w:t>Total</w:t>
            </w:r>
          </w:p>
        </w:tc>
        <w:tc>
          <w:tcPr>
            <w:tcW w:w="1604"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14,78%</w:t>
            </w:r>
          </w:p>
        </w:tc>
        <w:tc>
          <w:tcPr>
            <w:tcW w:w="1391"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19,10%</w:t>
            </w:r>
          </w:p>
        </w:tc>
        <w:tc>
          <w:tcPr>
            <w:tcW w:w="1737"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12.108</w:t>
            </w:r>
          </w:p>
        </w:tc>
        <w:tc>
          <w:tcPr>
            <w:tcW w:w="149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63.394</w:t>
            </w:r>
          </w:p>
        </w:tc>
      </w:tr>
    </w:tbl>
    <w:p w:rsidR="00A4337C" w:rsidRPr="007F1538" w:rsidRDefault="00A4337C" w:rsidP="00174E07">
      <w:pPr>
        <w:rPr>
          <w:lang w:val="fr-FR"/>
        </w:rPr>
      </w:pPr>
    </w:p>
    <w:p w:rsidR="009B274A" w:rsidRPr="007F1538" w:rsidRDefault="00285E1C" w:rsidP="009B274A">
      <w:pPr>
        <w:rPr>
          <w:rFonts w:cs="Arial"/>
          <w:lang w:val="fr-FR"/>
        </w:rPr>
      </w:pPr>
      <w:r w:rsidRPr="00285E1C">
        <w:rPr>
          <w:rFonts w:cs="Arial"/>
          <w:lang w:val="fr-FR"/>
        </w:rPr>
        <w:t>Répartitions des participants en 2009 en Flandre selon la rubrique de formation et la taille de leur employeur</w:t>
      </w:r>
    </w:p>
    <w:p w:rsidR="00BC73C2" w:rsidRDefault="00462A51" w:rsidP="00285E1C">
      <w:pPr>
        <w:pStyle w:val="Heading3"/>
        <w:rPr>
          <w:lang w:val="fr-FR"/>
        </w:rPr>
      </w:pPr>
      <w:bookmarkStart w:id="116" w:name="_Toc231044727"/>
      <w:bookmarkStart w:id="117" w:name="_Toc233192591"/>
      <w:r w:rsidRPr="007F1538">
        <w:rPr>
          <w:noProof/>
          <w:lang w:eastAsia="nl-BE"/>
        </w:rPr>
        <w:drawing>
          <wp:inline distT="0" distB="0" distL="0" distR="0">
            <wp:extent cx="5738629" cy="2979509"/>
            <wp:effectExtent l="11764" t="5893" r="5882" b="368"/>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73C2" w:rsidRDefault="00BC73C2" w:rsidP="00BC73C2">
      <w:pPr>
        <w:rPr>
          <w:lang w:val="fr-FR"/>
        </w:rPr>
      </w:pPr>
    </w:p>
    <w:p w:rsidR="00BC73C2" w:rsidRDefault="00BC73C2" w:rsidP="00BC73C2">
      <w:pPr>
        <w:rPr>
          <w:lang w:val="fr-FR"/>
        </w:rPr>
      </w:pPr>
    </w:p>
    <w:p w:rsidR="00BC73C2" w:rsidRDefault="00BC73C2" w:rsidP="00BC73C2">
      <w:pPr>
        <w:rPr>
          <w:lang w:val="fr-FR"/>
        </w:rPr>
      </w:pPr>
      <w:r w:rsidRPr="00BC73C2">
        <w:rPr>
          <w:highlight w:val="cyan"/>
          <w:lang w:val="fr-FR"/>
        </w:rPr>
        <w:t>Idem als pagina 19</w:t>
      </w:r>
    </w:p>
    <w:p w:rsidR="00BC73C2" w:rsidRDefault="00BC73C2" w:rsidP="00BC73C2">
      <w:pPr>
        <w:rPr>
          <w:lang w:val="fr-FR"/>
        </w:rPr>
      </w:pPr>
    </w:p>
    <w:p w:rsidR="00E57F7F" w:rsidRPr="007F1538" w:rsidRDefault="006A03C6" w:rsidP="00285E1C">
      <w:pPr>
        <w:pStyle w:val="Heading3"/>
        <w:rPr>
          <w:lang w:val="fr-FR"/>
        </w:rPr>
      </w:pPr>
      <w:r w:rsidRPr="00BC73C2">
        <w:rPr>
          <w:lang w:val="fr-FR"/>
        </w:rPr>
        <w:br w:type="page"/>
      </w:r>
      <w:bookmarkStart w:id="118" w:name="_Toc233194355"/>
      <w:bookmarkStart w:id="119" w:name="_Toc233194510"/>
      <w:bookmarkStart w:id="120" w:name="_Toc233607067"/>
      <w:bookmarkStart w:id="121" w:name="_Toc263170612"/>
      <w:bookmarkStart w:id="122" w:name="_Toc267060141"/>
      <w:bookmarkStart w:id="123" w:name="_Toc269220695"/>
      <w:r w:rsidR="00285E1C" w:rsidRPr="00285E1C">
        <w:rPr>
          <w:lang w:val="fr-FR"/>
        </w:rPr>
        <w:lastRenderedPageBreak/>
        <w:t>Annexe 2b :</w:t>
      </w:r>
      <w:r w:rsidR="00E57F7F" w:rsidRPr="007F1538">
        <w:rPr>
          <w:lang w:val="fr-FR"/>
        </w:rPr>
        <w:t xml:space="preserve"> </w:t>
      </w:r>
      <w:bookmarkEnd w:id="116"/>
      <w:bookmarkEnd w:id="117"/>
      <w:bookmarkEnd w:id="118"/>
      <w:bookmarkEnd w:id="119"/>
      <w:bookmarkEnd w:id="120"/>
      <w:bookmarkEnd w:id="121"/>
      <w:r w:rsidR="00285E1C" w:rsidRPr="00285E1C">
        <w:rPr>
          <w:lang w:val="fr-FR"/>
        </w:rPr>
        <w:t>Wallonie</w:t>
      </w:r>
      <w:bookmarkEnd w:id="122"/>
      <w:bookmarkEnd w:id="123"/>
    </w:p>
    <w:p w:rsidR="00E57F7F" w:rsidRPr="007F1538" w:rsidRDefault="00285E1C" w:rsidP="00285E1C">
      <w:pPr>
        <w:spacing w:after="60"/>
        <w:rPr>
          <w:rFonts w:cs="Arial"/>
          <w:lang w:val="fr-FR"/>
        </w:rPr>
      </w:pPr>
      <w:r w:rsidRPr="00285E1C">
        <w:rPr>
          <w:rFonts w:cs="Arial"/>
          <w:lang w:val="fr-FR"/>
        </w:rPr>
        <w:t>Tableau f-Wal :</w:t>
      </w:r>
      <w:r w:rsidR="00E57F7F" w:rsidRPr="007F1538">
        <w:rPr>
          <w:rFonts w:cs="Arial"/>
          <w:lang w:val="fr-FR"/>
        </w:rPr>
        <w:t xml:space="preserve"> </w:t>
      </w:r>
      <w:r w:rsidRPr="00285E1C">
        <w:rPr>
          <w:rFonts w:cs="Arial"/>
          <w:lang w:val="fr-FR"/>
        </w:rPr>
        <w:t>couverture auprès des employeurs en % du nombre d’entreprises selon la taille de l’entreprise en Wallonie</w:t>
      </w:r>
    </w:p>
    <w:tbl>
      <w:tblPr>
        <w:tblW w:w="8339" w:type="dxa"/>
        <w:tblInd w:w="98" w:type="dxa"/>
        <w:tblLook w:val="0000"/>
      </w:tblPr>
      <w:tblGrid>
        <w:gridCol w:w="1504"/>
        <w:gridCol w:w="1748"/>
        <w:gridCol w:w="1748"/>
        <w:gridCol w:w="1515"/>
        <w:gridCol w:w="1824"/>
      </w:tblGrid>
      <w:tr w:rsidR="0026622E" w:rsidRPr="007F1538" w:rsidTr="00285E1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6622E" w:rsidRPr="007F1538" w:rsidRDefault="0026622E" w:rsidP="0026622E">
            <w:pPr>
              <w:rPr>
                <w:rFonts w:cs="Arial"/>
                <w:lang w:val="fr-FR" w:eastAsia="en-US"/>
              </w:rPr>
            </w:pPr>
            <w:r w:rsidRPr="007F1538">
              <w:rPr>
                <w:rFonts w:cs="Arial"/>
                <w:lang w:val="fr-FR" w:eastAsia="en-US"/>
              </w:rPr>
              <w:t> </w:t>
            </w:r>
          </w:p>
        </w:tc>
        <w:tc>
          <w:tcPr>
            <w:tcW w:w="1748"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6622E" w:rsidRPr="007F1538" w:rsidRDefault="00352EF9" w:rsidP="0026622E">
            <w:pPr>
              <w:jc w:val="center"/>
              <w:rPr>
                <w:rFonts w:cs="Arial"/>
                <w:lang w:val="fr-FR" w:eastAsia="en-US"/>
              </w:rPr>
            </w:pPr>
            <w:r w:rsidRPr="007F1538">
              <w:rPr>
                <w:rFonts w:cs="Arial"/>
                <w:lang w:val="fr-FR" w:eastAsia="en-US"/>
              </w:rPr>
              <w:t>2008</w:t>
            </w:r>
          </w:p>
        </w:tc>
        <w:tc>
          <w:tcPr>
            <w:tcW w:w="1748"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6622E" w:rsidRPr="007F1538" w:rsidRDefault="00352EF9" w:rsidP="0026622E">
            <w:pPr>
              <w:jc w:val="center"/>
              <w:rPr>
                <w:rFonts w:cs="Arial"/>
                <w:lang w:val="fr-FR" w:eastAsia="en-US"/>
              </w:rPr>
            </w:pPr>
            <w:r w:rsidRPr="007F1538">
              <w:rPr>
                <w:rFonts w:cs="Arial"/>
                <w:lang w:val="fr-FR" w:eastAsia="en-US"/>
              </w:rPr>
              <w:t>2009</w:t>
            </w:r>
          </w:p>
        </w:tc>
        <w:tc>
          <w:tcPr>
            <w:tcW w:w="3339" w:type="dxa"/>
            <w:gridSpan w:val="2"/>
            <w:tcBorders>
              <w:top w:val="single" w:sz="8" w:space="0" w:color="auto"/>
              <w:left w:val="nil"/>
              <w:bottom w:val="single" w:sz="8" w:space="0" w:color="auto"/>
              <w:right w:val="single" w:sz="8" w:space="0" w:color="000000"/>
            </w:tcBorders>
            <w:shd w:val="clear" w:color="auto" w:fill="auto"/>
            <w:vAlign w:val="bottom"/>
          </w:tcPr>
          <w:p w:rsidR="0026622E" w:rsidRPr="007F1538" w:rsidRDefault="00352EF9" w:rsidP="0026622E">
            <w:pPr>
              <w:jc w:val="center"/>
              <w:rPr>
                <w:rFonts w:cs="Arial"/>
                <w:lang w:val="fr-FR" w:eastAsia="en-US"/>
              </w:rPr>
            </w:pPr>
            <w:r w:rsidRPr="007F1538">
              <w:rPr>
                <w:rFonts w:cs="Arial"/>
                <w:lang w:val="fr-FR" w:eastAsia="en-US"/>
              </w:rPr>
              <w:t>2009</w:t>
            </w:r>
          </w:p>
        </w:tc>
      </w:tr>
      <w:tr w:rsidR="0026622E" w:rsidRPr="007F1538" w:rsidTr="00285E1C">
        <w:tc>
          <w:tcPr>
            <w:tcW w:w="1504" w:type="dxa"/>
            <w:vMerge/>
            <w:tcBorders>
              <w:top w:val="single" w:sz="8" w:space="0" w:color="auto"/>
              <w:left w:val="single" w:sz="8" w:space="0" w:color="auto"/>
              <w:bottom w:val="single" w:sz="8" w:space="0" w:color="000000"/>
              <w:right w:val="single" w:sz="8" w:space="0" w:color="auto"/>
            </w:tcBorders>
            <w:vAlign w:val="center"/>
          </w:tcPr>
          <w:p w:rsidR="0026622E" w:rsidRPr="007F1538" w:rsidRDefault="0026622E" w:rsidP="0026622E">
            <w:pPr>
              <w:rPr>
                <w:rFonts w:cs="Arial"/>
                <w:lang w:val="fr-FR" w:eastAsia="en-US"/>
              </w:rPr>
            </w:pPr>
          </w:p>
        </w:tc>
        <w:tc>
          <w:tcPr>
            <w:tcW w:w="1748" w:type="dxa"/>
            <w:vMerge/>
            <w:tcBorders>
              <w:top w:val="single" w:sz="8" w:space="0" w:color="auto"/>
              <w:left w:val="single" w:sz="8" w:space="0" w:color="auto"/>
              <w:bottom w:val="single" w:sz="8" w:space="0" w:color="000000"/>
              <w:right w:val="single" w:sz="8" w:space="0" w:color="auto"/>
            </w:tcBorders>
            <w:vAlign w:val="center"/>
          </w:tcPr>
          <w:p w:rsidR="0026622E" w:rsidRPr="007F1538" w:rsidRDefault="0026622E" w:rsidP="0026622E">
            <w:pPr>
              <w:rPr>
                <w:rFonts w:cs="Arial"/>
                <w:lang w:val="fr-FR" w:eastAsia="en-US"/>
              </w:rPr>
            </w:pPr>
          </w:p>
        </w:tc>
        <w:tc>
          <w:tcPr>
            <w:tcW w:w="1748" w:type="dxa"/>
            <w:vMerge/>
            <w:tcBorders>
              <w:top w:val="single" w:sz="8" w:space="0" w:color="auto"/>
              <w:left w:val="single" w:sz="8" w:space="0" w:color="auto"/>
              <w:bottom w:val="single" w:sz="8" w:space="0" w:color="000000"/>
              <w:right w:val="single" w:sz="8" w:space="0" w:color="auto"/>
            </w:tcBorders>
            <w:vAlign w:val="center"/>
          </w:tcPr>
          <w:p w:rsidR="0026622E" w:rsidRPr="007F1538" w:rsidRDefault="0026622E" w:rsidP="0026622E">
            <w:pPr>
              <w:rPr>
                <w:rFonts w:cs="Arial"/>
                <w:lang w:val="fr-FR" w:eastAsia="en-US"/>
              </w:rPr>
            </w:pPr>
          </w:p>
        </w:tc>
        <w:tc>
          <w:tcPr>
            <w:tcW w:w="1515" w:type="dxa"/>
            <w:tcBorders>
              <w:top w:val="nil"/>
              <w:left w:val="nil"/>
              <w:bottom w:val="single" w:sz="8" w:space="0" w:color="auto"/>
              <w:right w:val="single" w:sz="8" w:space="0" w:color="auto"/>
            </w:tcBorders>
            <w:shd w:val="clear" w:color="auto" w:fill="auto"/>
            <w:vAlign w:val="bottom"/>
          </w:tcPr>
          <w:p w:rsidR="0026622E" w:rsidRPr="007F1538" w:rsidRDefault="00285E1C" w:rsidP="00690B4E">
            <w:pPr>
              <w:jc w:val="center"/>
              <w:rPr>
                <w:rFonts w:cs="Arial"/>
                <w:lang w:val="fr-FR" w:eastAsia="en-US"/>
              </w:rPr>
            </w:pPr>
            <w:r w:rsidRPr="00285E1C">
              <w:rPr>
                <w:rFonts w:cs="Arial"/>
                <w:lang w:val="fr-FR" w:eastAsia="en-US"/>
              </w:rPr>
              <w:t>Couverture (abs.)</w:t>
            </w:r>
          </w:p>
        </w:tc>
        <w:tc>
          <w:tcPr>
            <w:tcW w:w="1824" w:type="dxa"/>
            <w:tcBorders>
              <w:top w:val="nil"/>
              <w:left w:val="nil"/>
              <w:bottom w:val="single" w:sz="8" w:space="0" w:color="auto"/>
              <w:right w:val="single" w:sz="8" w:space="0" w:color="auto"/>
            </w:tcBorders>
            <w:shd w:val="clear" w:color="auto" w:fill="auto"/>
            <w:vAlign w:val="bottom"/>
          </w:tcPr>
          <w:p w:rsidR="0026622E" w:rsidRPr="007F1538" w:rsidRDefault="00285E1C" w:rsidP="00690B4E">
            <w:pPr>
              <w:jc w:val="center"/>
              <w:rPr>
                <w:rFonts w:cs="Arial"/>
                <w:lang w:val="fr-FR" w:eastAsia="en-US"/>
              </w:rPr>
            </w:pPr>
            <w:r w:rsidRPr="00285E1C">
              <w:rPr>
                <w:rFonts w:cs="Arial"/>
                <w:lang w:val="fr-FR" w:eastAsia="en-US"/>
              </w:rPr>
              <w:t>Population</w:t>
            </w:r>
          </w:p>
        </w:tc>
      </w:tr>
      <w:tr w:rsidR="00352EF9" w:rsidRPr="007F1538" w:rsidTr="00285E1C">
        <w:tc>
          <w:tcPr>
            <w:tcW w:w="1504" w:type="dxa"/>
            <w:tcBorders>
              <w:top w:val="nil"/>
              <w:left w:val="single" w:sz="8" w:space="0" w:color="auto"/>
              <w:bottom w:val="single" w:sz="8" w:space="0" w:color="auto"/>
              <w:right w:val="single" w:sz="8" w:space="0" w:color="auto"/>
            </w:tcBorders>
            <w:shd w:val="clear" w:color="auto" w:fill="auto"/>
          </w:tcPr>
          <w:p w:rsidR="00352EF9" w:rsidRPr="007F1538" w:rsidRDefault="00285E1C" w:rsidP="00690B4E">
            <w:pPr>
              <w:rPr>
                <w:rFonts w:cs="Arial"/>
                <w:lang w:val="fr-FR" w:eastAsia="en-US"/>
              </w:rPr>
            </w:pPr>
            <w:r w:rsidRPr="00285E1C">
              <w:rPr>
                <w:rFonts w:cs="Arial"/>
                <w:lang w:val="fr-FR" w:eastAsia="en-US"/>
              </w:rPr>
              <w:t>&lt; 10 trav.</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704FFA">
            <w:pPr>
              <w:jc w:val="center"/>
              <w:rPr>
                <w:rFonts w:cs="Arial"/>
                <w:lang w:val="fr-FR" w:eastAsia="en-US"/>
              </w:rPr>
            </w:pPr>
            <w:r w:rsidRPr="007F1538">
              <w:rPr>
                <w:rFonts w:cs="Arial"/>
                <w:lang w:val="fr-FR" w:eastAsia="en-US"/>
              </w:rPr>
              <w:t>3,83%</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11,02%</w:t>
            </w:r>
          </w:p>
        </w:tc>
        <w:tc>
          <w:tcPr>
            <w:tcW w:w="151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141</w:t>
            </w:r>
          </w:p>
        </w:tc>
        <w:tc>
          <w:tcPr>
            <w:tcW w:w="1824" w:type="dxa"/>
            <w:tcBorders>
              <w:top w:val="nil"/>
              <w:left w:val="nil"/>
              <w:bottom w:val="single" w:sz="8" w:space="0" w:color="auto"/>
              <w:right w:val="single" w:sz="8" w:space="0" w:color="auto"/>
            </w:tcBorders>
            <w:shd w:val="clear" w:color="auto" w:fill="auto"/>
            <w:vAlign w:val="bottom"/>
          </w:tcPr>
          <w:p w:rsidR="00352EF9" w:rsidRPr="007F1538" w:rsidRDefault="00352EF9" w:rsidP="0026622E">
            <w:pPr>
              <w:jc w:val="center"/>
              <w:rPr>
                <w:rFonts w:cs="Arial"/>
                <w:lang w:val="fr-FR" w:eastAsia="en-US"/>
              </w:rPr>
            </w:pPr>
            <w:r w:rsidRPr="007F1538">
              <w:rPr>
                <w:rFonts w:cs="Arial"/>
                <w:lang w:val="fr-FR" w:eastAsia="en-US"/>
              </w:rPr>
              <w:t>1.279</w:t>
            </w:r>
          </w:p>
        </w:tc>
      </w:tr>
      <w:tr w:rsidR="00352EF9" w:rsidRPr="007F1538" w:rsidTr="00285E1C">
        <w:tc>
          <w:tcPr>
            <w:tcW w:w="1504" w:type="dxa"/>
            <w:tcBorders>
              <w:top w:val="nil"/>
              <w:left w:val="single" w:sz="8" w:space="0" w:color="auto"/>
              <w:bottom w:val="single" w:sz="8" w:space="0" w:color="auto"/>
              <w:right w:val="single" w:sz="8" w:space="0" w:color="auto"/>
            </w:tcBorders>
            <w:shd w:val="clear" w:color="auto" w:fill="auto"/>
          </w:tcPr>
          <w:p w:rsidR="00352EF9" w:rsidRPr="007F1538" w:rsidRDefault="00285E1C" w:rsidP="00690B4E">
            <w:pPr>
              <w:rPr>
                <w:rFonts w:cs="Arial"/>
                <w:lang w:val="fr-FR" w:eastAsia="en-US"/>
              </w:rPr>
            </w:pPr>
            <w:r w:rsidRPr="00285E1C">
              <w:rPr>
                <w:rFonts w:cs="Arial"/>
                <w:lang w:val="fr-FR" w:eastAsia="en-US"/>
              </w:rPr>
              <w:t>10-49 trav.</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704FFA">
            <w:pPr>
              <w:jc w:val="center"/>
              <w:rPr>
                <w:rFonts w:cs="Arial"/>
                <w:lang w:val="fr-FR" w:eastAsia="en-US"/>
              </w:rPr>
            </w:pPr>
            <w:r w:rsidRPr="007F1538">
              <w:rPr>
                <w:rFonts w:cs="Arial"/>
                <w:lang w:val="fr-FR" w:eastAsia="en-US"/>
              </w:rPr>
              <w:t>34,39%</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23,72%</w:t>
            </w:r>
          </w:p>
        </w:tc>
        <w:tc>
          <w:tcPr>
            <w:tcW w:w="151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60</w:t>
            </w:r>
          </w:p>
        </w:tc>
        <w:tc>
          <w:tcPr>
            <w:tcW w:w="1824" w:type="dxa"/>
            <w:tcBorders>
              <w:top w:val="nil"/>
              <w:left w:val="nil"/>
              <w:bottom w:val="single" w:sz="8" w:space="0" w:color="auto"/>
              <w:right w:val="single" w:sz="8" w:space="0" w:color="auto"/>
            </w:tcBorders>
            <w:shd w:val="clear" w:color="auto" w:fill="auto"/>
            <w:vAlign w:val="bottom"/>
          </w:tcPr>
          <w:p w:rsidR="00352EF9" w:rsidRPr="007F1538" w:rsidRDefault="00352EF9" w:rsidP="0026622E">
            <w:pPr>
              <w:jc w:val="center"/>
              <w:rPr>
                <w:rFonts w:cs="Arial"/>
                <w:lang w:val="fr-FR" w:eastAsia="en-US"/>
              </w:rPr>
            </w:pPr>
            <w:r w:rsidRPr="007F1538">
              <w:rPr>
                <w:rFonts w:cs="Arial"/>
                <w:lang w:val="fr-FR" w:eastAsia="en-US"/>
              </w:rPr>
              <w:t>253</w:t>
            </w:r>
          </w:p>
        </w:tc>
      </w:tr>
      <w:tr w:rsidR="00352EF9" w:rsidRPr="007F1538" w:rsidTr="00285E1C">
        <w:tc>
          <w:tcPr>
            <w:tcW w:w="1504" w:type="dxa"/>
            <w:tcBorders>
              <w:top w:val="nil"/>
              <w:left w:val="single" w:sz="8" w:space="0" w:color="auto"/>
              <w:bottom w:val="single" w:sz="8" w:space="0" w:color="auto"/>
              <w:right w:val="single" w:sz="8" w:space="0" w:color="auto"/>
            </w:tcBorders>
            <w:shd w:val="clear" w:color="auto" w:fill="auto"/>
          </w:tcPr>
          <w:p w:rsidR="00352EF9" w:rsidRPr="007F1538" w:rsidRDefault="00285E1C" w:rsidP="00690B4E">
            <w:pPr>
              <w:rPr>
                <w:rFonts w:cs="Arial"/>
                <w:lang w:val="fr-FR" w:eastAsia="en-US"/>
              </w:rPr>
            </w:pPr>
            <w:r w:rsidRPr="00285E1C">
              <w:rPr>
                <w:rFonts w:cs="Arial"/>
                <w:lang w:val="fr-FR" w:eastAsia="en-US"/>
              </w:rPr>
              <w:t>50-99 trav.</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704FFA">
            <w:pPr>
              <w:jc w:val="center"/>
              <w:rPr>
                <w:rFonts w:cs="Arial"/>
                <w:lang w:val="fr-FR" w:eastAsia="en-US"/>
              </w:rPr>
            </w:pPr>
            <w:r w:rsidRPr="007F1538">
              <w:rPr>
                <w:rFonts w:cs="Arial"/>
                <w:lang w:val="fr-FR" w:eastAsia="en-US"/>
              </w:rPr>
              <w:t>100,00%</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100,00%</w:t>
            </w:r>
          </w:p>
        </w:tc>
        <w:tc>
          <w:tcPr>
            <w:tcW w:w="151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24</w:t>
            </w:r>
          </w:p>
        </w:tc>
        <w:tc>
          <w:tcPr>
            <w:tcW w:w="1824" w:type="dxa"/>
            <w:tcBorders>
              <w:top w:val="nil"/>
              <w:left w:val="nil"/>
              <w:bottom w:val="single" w:sz="8" w:space="0" w:color="auto"/>
              <w:right w:val="single" w:sz="8" w:space="0" w:color="auto"/>
            </w:tcBorders>
            <w:shd w:val="clear" w:color="auto" w:fill="auto"/>
            <w:vAlign w:val="bottom"/>
          </w:tcPr>
          <w:p w:rsidR="00352EF9" w:rsidRPr="007F1538" w:rsidRDefault="00352EF9" w:rsidP="0026622E">
            <w:pPr>
              <w:jc w:val="center"/>
              <w:rPr>
                <w:rFonts w:cs="Arial"/>
                <w:lang w:val="fr-FR" w:eastAsia="en-US"/>
              </w:rPr>
            </w:pPr>
            <w:r w:rsidRPr="007F1538">
              <w:rPr>
                <w:rFonts w:cs="Arial"/>
                <w:lang w:val="fr-FR" w:eastAsia="en-US"/>
              </w:rPr>
              <w:t>24</w:t>
            </w:r>
          </w:p>
        </w:tc>
      </w:tr>
      <w:tr w:rsidR="00352EF9" w:rsidRPr="007F1538" w:rsidTr="00285E1C">
        <w:tc>
          <w:tcPr>
            <w:tcW w:w="1504" w:type="dxa"/>
            <w:tcBorders>
              <w:top w:val="nil"/>
              <w:left w:val="single" w:sz="8" w:space="0" w:color="auto"/>
              <w:bottom w:val="single" w:sz="8" w:space="0" w:color="auto"/>
              <w:right w:val="single" w:sz="8" w:space="0" w:color="auto"/>
            </w:tcBorders>
            <w:shd w:val="clear" w:color="auto" w:fill="auto"/>
          </w:tcPr>
          <w:p w:rsidR="00352EF9" w:rsidRPr="007F1538" w:rsidRDefault="00285E1C" w:rsidP="00690B4E">
            <w:pPr>
              <w:rPr>
                <w:rFonts w:cs="Arial"/>
                <w:lang w:val="fr-FR" w:eastAsia="en-US"/>
              </w:rPr>
            </w:pPr>
            <w:r w:rsidRPr="00285E1C">
              <w:rPr>
                <w:rFonts w:cs="Arial"/>
                <w:lang w:val="fr-FR" w:eastAsia="en-US"/>
              </w:rPr>
              <w:t>100 et + trav.</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704FFA">
            <w:pPr>
              <w:jc w:val="center"/>
              <w:rPr>
                <w:rFonts w:cs="Arial"/>
                <w:lang w:val="fr-FR" w:eastAsia="en-US"/>
              </w:rPr>
            </w:pPr>
            <w:r w:rsidRPr="007F1538">
              <w:rPr>
                <w:rFonts w:cs="Arial"/>
                <w:lang w:val="fr-FR" w:eastAsia="en-US"/>
              </w:rPr>
              <w:t>100,00%</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100,00%</w:t>
            </w:r>
          </w:p>
        </w:tc>
        <w:tc>
          <w:tcPr>
            <w:tcW w:w="151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39</w:t>
            </w:r>
          </w:p>
        </w:tc>
        <w:tc>
          <w:tcPr>
            <w:tcW w:w="1824" w:type="dxa"/>
            <w:tcBorders>
              <w:top w:val="nil"/>
              <w:left w:val="nil"/>
              <w:bottom w:val="single" w:sz="8" w:space="0" w:color="auto"/>
              <w:right w:val="single" w:sz="8" w:space="0" w:color="auto"/>
            </w:tcBorders>
            <w:shd w:val="clear" w:color="auto" w:fill="auto"/>
            <w:vAlign w:val="bottom"/>
          </w:tcPr>
          <w:p w:rsidR="00352EF9" w:rsidRPr="007F1538" w:rsidRDefault="00352EF9" w:rsidP="0026622E">
            <w:pPr>
              <w:jc w:val="center"/>
              <w:rPr>
                <w:rFonts w:cs="Arial"/>
                <w:lang w:val="fr-FR" w:eastAsia="en-US"/>
              </w:rPr>
            </w:pPr>
            <w:r w:rsidRPr="007F1538">
              <w:rPr>
                <w:rFonts w:cs="Arial"/>
                <w:lang w:val="fr-FR" w:eastAsia="en-US"/>
              </w:rPr>
              <w:t>39</w:t>
            </w:r>
          </w:p>
        </w:tc>
      </w:tr>
      <w:tr w:rsidR="00352EF9" w:rsidRPr="007F1538" w:rsidTr="00285E1C">
        <w:tc>
          <w:tcPr>
            <w:tcW w:w="1504" w:type="dxa"/>
            <w:tcBorders>
              <w:top w:val="nil"/>
              <w:left w:val="single" w:sz="8" w:space="0" w:color="auto"/>
              <w:bottom w:val="single" w:sz="8" w:space="0" w:color="auto"/>
              <w:right w:val="single" w:sz="8" w:space="0" w:color="auto"/>
            </w:tcBorders>
            <w:shd w:val="clear" w:color="auto" w:fill="auto"/>
          </w:tcPr>
          <w:p w:rsidR="00352EF9" w:rsidRPr="007F1538" w:rsidRDefault="00285E1C" w:rsidP="00690B4E">
            <w:pPr>
              <w:rPr>
                <w:rFonts w:cs="Arial"/>
                <w:i/>
                <w:iCs/>
                <w:lang w:val="fr-FR" w:eastAsia="en-US"/>
              </w:rPr>
            </w:pPr>
            <w:r w:rsidRPr="00285E1C">
              <w:rPr>
                <w:rFonts w:cs="Arial"/>
                <w:i/>
                <w:iCs/>
                <w:lang w:val="fr-FR" w:eastAsia="en-US"/>
              </w:rPr>
              <w:t>Total</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704FFA">
            <w:pPr>
              <w:jc w:val="center"/>
              <w:rPr>
                <w:rFonts w:cs="Arial"/>
                <w:i/>
                <w:lang w:val="fr-FR" w:eastAsia="en-US"/>
              </w:rPr>
            </w:pPr>
            <w:r w:rsidRPr="007F1538">
              <w:rPr>
                <w:rFonts w:cs="Arial"/>
                <w:i/>
                <w:lang w:val="fr-FR" w:eastAsia="en-US"/>
              </w:rPr>
              <w:t>12,48%</w:t>
            </w:r>
          </w:p>
        </w:tc>
        <w:tc>
          <w:tcPr>
            <w:tcW w:w="174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16,55%</w:t>
            </w:r>
          </w:p>
        </w:tc>
        <w:tc>
          <w:tcPr>
            <w:tcW w:w="151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i/>
                <w:iCs/>
                <w:lang w:val="fr-FR"/>
              </w:rPr>
            </w:pPr>
            <w:r w:rsidRPr="007F1538">
              <w:rPr>
                <w:rFonts w:cs="Arial"/>
                <w:i/>
                <w:iCs/>
                <w:lang w:val="fr-FR"/>
              </w:rPr>
              <w:t>264</w:t>
            </w:r>
          </w:p>
        </w:tc>
        <w:tc>
          <w:tcPr>
            <w:tcW w:w="1824" w:type="dxa"/>
            <w:tcBorders>
              <w:top w:val="nil"/>
              <w:left w:val="nil"/>
              <w:bottom w:val="single" w:sz="8" w:space="0" w:color="auto"/>
              <w:right w:val="single" w:sz="8" w:space="0" w:color="auto"/>
            </w:tcBorders>
            <w:shd w:val="clear" w:color="auto" w:fill="auto"/>
            <w:vAlign w:val="bottom"/>
          </w:tcPr>
          <w:p w:rsidR="00352EF9" w:rsidRPr="007F1538" w:rsidRDefault="00352EF9" w:rsidP="0026622E">
            <w:pPr>
              <w:jc w:val="center"/>
              <w:rPr>
                <w:rFonts w:cs="Arial"/>
                <w:i/>
                <w:lang w:val="fr-FR" w:eastAsia="en-US"/>
              </w:rPr>
            </w:pPr>
            <w:r w:rsidRPr="007F1538">
              <w:rPr>
                <w:rFonts w:cs="Arial"/>
                <w:i/>
                <w:lang w:val="fr-FR" w:eastAsia="en-US"/>
              </w:rPr>
              <w:t>1.595</w:t>
            </w:r>
          </w:p>
        </w:tc>
      </w:tr>
    </w:tbl>
    <w:p w:rsidR="0043013B" w:rsidRPr="007F1538" w:rsidRDefault="0043013B" w:rsidP="006A03C6">
      <w:pPr>
        <w:spacing w:after="60"/>
        <w:rPr>
          <w:rFonts w:cs="Arial"/>
          <w:lang w:val="fr-FR"/>
        </w:rPr>
      </w:pPr>
    </w:p>
    <w:p w:rsidR="001B6E70" w:rsidRPr="007F1538" w:rsidRDefault="00285E1C" w:rsidP="00285E1C">
      <w:pPr>
        <w:spacing w:after="60"/>
        <w:rPr>
          <w:rFonts w:cs="Arial"/>
          <w:lang w:val="fr-FR"/>
        </w:rPr>
      </w:pPr>
      <w:r w:rsidRPr="00285E1C">
        <w:rPr>
          <w:rFonts w:cs="Arial"/>
          <w:lang w:val="fr-FR"/>
        </w:rPr>
        <w:t>Tableau g-Wal :</w:t>
      </w:r>
      <w:r w:rsidR="00E57F7F" w:rsidRPr="007F1538">
        <w:rPr>
          <w:rFonts w:cs="Arial"/>
          <w:lang w:val="fr-FR"/>
        </w:rPr>
        <w:t xml:space="preserve"> </w:t>
      </w:r>
      <w:r w:rsidRPr="00285E1C">
        <w:rPr>
          <w:rFonts w:cs="Arial"/>
          <w:lang w:val="fr-FR"/>
        </w:rPr>
        <w:t>couverture employeurs en % du sous-secteur en Wallonie</w:t>
      </w:r>
    </w:p>
    <w:tbl>
      <w:tblPr>
        <w:tblW w:w="8549" w:type="dxa"/>
        <w:tblInd w:w="98" w:type="dxa"/>
        <w:tblLook w:val="0000"/>
      </w:tblPr>
      <w:tblGrid>
        <w:gridCol w:w="4605"/>
        <w:gridCol w:w="1362"/>
        <w:gridCol w:w="1532"/>
        <w:gridCol w:w="1162"/>
      </w:tblGrid>
      <w:tr w:rsidR="0026622E" w:rsidRPr="007F1538" w:rsidTr="00285E1C">
        <w:tc>
          <w:tcPr>
            <w:tcW w:w="4605" w:type="dxa"/>
            <w:tcBorders>
              <w:top w:val="single" w:sz="8" w:space="0" w:color="auto"/>
              <w:left w:val="single" w:sz="8" w:space="0" w:color="auto"/>
              <w:bottom w:val="single" w:sz="8" w:space="0" w:color="auto"/>
              <w:right w:val="single" w:sz="8" w:space="0" w:color="auto"/>
            </w:tcBorders>
            <w:shd w:val="clear" w:color="auto" w:fill="auto"/>
            <w:noWrap/>
          </w:tcPr>
          <w:p w:rsidR="00750874" w:rsidRPr="007F1538" w:rsidRDefault="00285E1C" w:rsidP="00690B4E">
            <w:pPr>
              <w:rPr>
                <w:rFonts w:cs="Arial"/>
                <w:lang w:val="fr-FR" w:eastAsia="en-US"/>
              </w:rPr>
            </w:pPr>
            <w:r w:rsidRPr="00285E1C">
              <w:rPr>
                <w:rFonts w:cs="Arial"/>
                <w:lang w:val="fr-FR" w:eastAsia="en-US"/>
              </w:rPr>
              <w:t>Sous-secteur (selon code NACE)</w:t>
            </w:r>
          </w:p>
        </w:tc>
        <w:tc>
          <w:tcPr>
            <w:tcW w:w="1362" w:type="dxa"/>
            <w:tcBorders>
              <w:top w:val="single" w:sz="8" w:space="0" w:color="auto"/>
              <w:left w:val="nil"/>
              <w:bottom w:val="single" w:sz="8" w:space="0" w:color="auto"/>
              <w:right w:val="single" w:sz="8" w:space="0" w:color="auto"/>
            </w:tcBorders>
            <w:shd w:val="clear" w:color="auto" w:fill="auto"/>
            <w:noWrap/>
            <w:vAlign w:val="bottom"/>
          </w:tcPr>
          <w:p w:rsidR="00750874" w:rsidRPr="007F1538" w:rsidRDefault="00285E1C" w:rsidP="00690B4E">
            <w:pPr>
              <w:jc w:val="center"/>
              <w:rPr>
                <w:rFonts w:cs="Arial"/>
                <w:lang w:val="fr-FR" w:eastAsia="en-US"/>
              </w:rPr>
            </w:pPr>
            <w:r w:rsidRPr="00285E1C">
              <w:rPr>
                <w:rFonts w:cs="Arial"/>
                <w:lang w:val="fr-FR" w:eastAsia="en-US"/>
              </w:rPr>
              <w:t>Couverture (%)</w:t>
            </w:r>
          </w:p>
        </w:tc>
        <w:tc>
          <w:tcPr>
            <w:tcW w:w="1532" w:type="dxa"/>
            <w:tcBorders>
              <w:top w:val="single" w:sz="8" w:space="0" w:color="auto"/>
              <w:left w:val="nil"/>
              <w:bottom w:val="single" w:sz="8" w:space="0" w:color="auto"/>
              <w:right w:val="single" w:sz="8" w:space="0" w:color="auto"/>
            </w:tcBorders>
            <w:shd w:val="clear" w:color="auto" w:fill="auto"/>
            <w:noWrap/>
            <w:vAlign w:val="bottom"/>
          </w:tcPr>
          <w:p w:rsidR="00750874" w:rsidRPr="007F1538" w:rsidRDefault="00285E1C" w:rsidP="00690B4E">
            <w:pPr>
              <w:jc w:val="center"/>
              <w:rPr>
                <w:rFonts w:cs="Arial"/>
                <w:lang w:val="fr-FR" w:eastAsia="en-US"/>
              </w:rPr>
            </w:pPr>
            <w:r w:rsidRPr="00285E1C">
              <w:rPr>
                <w:rFonts w:cs="Arial"/>
                <w:lang w:val="fr-FR" w:eastAsia="en-US"/>
              </w:rPr>
              <w:t>Couverture (abs.)</w:t>
            </w:r>
          </w:p>
        </w:tc>
        <w:tc>
          <w:tcPr>
            <w:tcW w:w="1050" w:type="dxa"/>
            <w:tcBorders>
              <w:top w:val="single" w:sz="8" w:space="0" w:color="auto"/>
              <w:left w:val="nil"/>
              <w:bottom w:val="single" w:sz="8" w:space="0" w:color="auto"/>
              <w:right w:val="single" w:sz="8" w:space="0" w:color="auto"/>
            </w:tcBorders>
            <w:shd w:val="clear" w:color="auto" w:fill="auto"/>
            <w:noWrap/>
            <w:vAlign w:val="bottom"/>
          </w:tcPr>
          <w:p w:rsidR="00750874" w:rsidRPr="007F1538" w:rsidRDefault="00285E1C" w:rsidP="00690B4E">
            <w:pPr>
              <w:jc w:val="center"/>
              <w:rPr>
                <w:rFonts w:cs="Arial"/>
                <w:lang w:val="fr-FR" w:eastAsia="en-US"/>
              </w:rPr>
            </w:pPr>
            <w:r w:rsidRPr="00285E1C">
              <w:rPr>
                <w:rFonts w:cs="Arial"/>
                <w:lang w:val="fr-FR" w:eastAsia="en-US"/>
              </w:rPr>
              <w:t>Population</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15.1 </w:t>
            </w:r>
            <w:r w:rsidR="00285E1C" w:rsidRPr="00285E1C">
              <w:rPr>
                <w:rFonts w:cs="Arial"/>
                <w:lang w:val="fr-FR" w:eastAsia="en-US"/>
              </w:rPr>
              <w:t>Viande et produits de viande (abattoirs inclus)</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14,29%</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18</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126</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15.2 </w:t>
            </w:r>
            <w:r w:rsidR="00285E1C" w:rsidRPr="00285E1C">
              <w:rPr>
                <w:rFonts w:cs="Arial"/>
                <w:lang w:val="fr-FR" w:eastAsia="en-US"/>
              </w:rPr>
              <w:t>Poisson et produits à base de poisson</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15,38%</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13</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15.3 </w:t>
            </w:r>
            <w:r w:rsidR="00285E1C" w:rsidRPr="00285E1C">
              <w:rPr>
                <w:rFonts w:cs="Arial"/>
                <w:lang w:val="fr-FR" w:eastAsia="en-US"/>
              </w:rPr>
              <w:t>Transformation et conservation des fruits et légumes</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35,71%</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10</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28</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15.4 </w:t>
            </w:r>
            <w:r w:rsidR="00285E1C" w:rsidRPr="00285E1C">
              <w:rPr>
                <w:rFonts w:cs="Arial"/>
                <w:lang w:val="fr-FR" w:eastAsia="en-US"/>
              </w:rPr>
              <w:t>Huiles et graisses animales et végétales</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25,00%</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4</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15.5 </w:t>
            </w:r>
            <w:r w:rsidR="00285E1C" w:rsidRPr="00285E1C">
              <w:rPr>
                <w:rFonts w:cs="Arial"/>
                <w:lang w:val="fr-FR" w:eastAsia="en-US"/>
              </w:rPr>
              <w:t>Produits laitiers</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28,07%</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16</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57</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15.6 </w:t>
            </w:r>
            <w:r w:rsidR="00285E1C" w:rsidRPr="00285E1C">
              <w:rPr>
                <w:rFonts w:cs="Arial"/>
                <w:lang w:val="fr-FR" w:eastAsia="en-US"/>
              </w:rPr>
              <w:t>Amidon et produits amylacés</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37,50%</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3</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8</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15.7 </w:t>
            </w:r>
            <w:r w:rsidR="00285E1C" w:rsidRPr="00285E1C">
              <w:rPr>
                <w:rFonts w:cs="Arial"/>
                <w:lang w:val="fr-FR" w:eastAsia="en-US"/>
              </w:rPr>
              <w:t>Aliments pour animaux</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9,09%</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22</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15.8 </w:t>
            </w:r>
            <w:r w:rsidR="00285E1C" w:rsidRPr="00285E1C">
              <w:rPr>
                <w:rFonts w:cs="Arial"/>
                <w:lang w:val="fr-FR" w:eastAsia="en-US"/>
              </w:rPr>
              <w:t>Autres produits alimentaires (entre autres : pain, pâtisserie, biscuits, céréales et pâtes alimentaires, cacao, sucre, …)</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14,81%</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190</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1283</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352EF9" w:rsidP="00690B4E">
            <w:pPr>
              <w:rPr>
                <w:rFonts w:cs="Arial"/>
                <w:lang w:val="fr-FR" w:eastAsia="en-US"/>
              </w:rPr>
            </w:pPr>
            <w:r w:rsidRPr="007F1538">
              <w:rPr>
                <w:rFonts w:cs="Arial"/>
                <w:lang w:val="fr-FR" w:eastAsia="en-US"/>
              </w:rPr>
              <w:t xml:space="preserve">15.9 </w:t>
            </w:r>
            <w:r w:rsidR="00285E1C" w:rsidRPr="00285E1C">
              <w:rPr>
                <w:rFonts w:cs="Arial"/>
                <w:lang w:val="fr-FR" w:eastAsia="en-US"/>
              </w:rPr>
              <w:t>Boissons (brasseries, eau, limonades, …)</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40,74%</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22</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54</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285E1C" w:rsidP="00690B4E">
            <w:pPr>
              <w:rPr>
                <w:rFonts w:cs="Arial"/>
                <w:i/>
                <w:iCs/>
                <w:lang w:val="fr-FR" w:eastAsia="en-US"/>
              </w:rPr>
            </w:pPr>
            <w:r w:rsidRPr="00285E1C">
              <w:rPr>
                <w:rFonts w:cs="Arial"/>
                <w:i/>
                <w:iCs/>
                <w:lang w:val="fr-FR" w:eastAsia="en-US"/>
              </w:rPr>
              <w:t>Total</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16,55%</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264</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1595</w:t>
            </w:r>
          </w:p>
        </w:tc>
      </w:tr>
      <w:tr w:rsidR="00352EF9" w:rsidRPr="007F1538" w:rsidTr="00285E1C">
        <w:tc>
          <w:tcPr>
            <w:tcW w:w="4605" w:type="dxa"/>
            <w:tcBorders>
              <w:top w:val="nil"/>
              <w:left w:val="single" w:sz="8" w:space="0" w:color="auto"/>
              <w:bottom w:val="single" w:sz="8" w:space="0" w:color="auto"/>
              <w:right w:val="single" w:sz="8" w:space="0" w:color="auto"/>
            </w:tcBorders>
            <w:shd w:val="clear" w:color="auto" w:fill="auto"/>
            <w:noWrap/>
          </w:tcPr>
          <w:p w:rsidR="00352EF9" w:rsidRPr="007F1538" w:rsidRDefault="00285E1C" w:rsidP="00690B4E">
            <w:pPr>
              <w:rPr>
                <w:rFonts w:cs="Arial"/>
                <w:i/>
                <w:iCs/>
                <w:lang w:val="fr-FR" w:eastAsia="en-US"/>
              </w:rPr>
            </w:pPr>
            <w:r w:rsidRPr="00285E1C">
              <w:rPr>
                <w:rFonts w:cs="Arial"/>
                <w:i/>
                <w:iCs/>
                <w:lang w:val="fr-FR" w:eastAsia="en-US"/>
              </w:rPr>
              <w:t>Total sans les boulangers</w:t>
            </w:r>
          </w:p>
        </w:tc>
        <w:tc>
          <w:tcPr>
            <w:tcW w:w="136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25,34%</w:t>
            </w:r>
          </w:p>
        </w:tc>
        <w:tc>
          <w:tcPr>
            <w:tcW w:w="1532"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113</w:t>
            </w:r>
          </w:p>
        </w:tc>
        <w:tc>
          <w:tcPr>
            <w:tcW w:w="1050" w:type="dxa"/>
            <w:tcBorders>
              <w:top w:val="nil"/>
              <w:left w:val="nil"/>
              <w:bottom w:val="single" w:sz="8" w:space="0" w:color="auto"/>
              <w:right w:val="single" w:sz="8" w:space="0" w:color="auto"/>
            </w:tcBorders>
            <w:shd w:val="clear" w:color="auto" w:fill="auto"/>
            <w:noWrap/>
            <w:vAlign w:val="bottom"/>
          </w:tcPr>
          <w:p w:rsidR="00352EF9" w:rsidRPr="007F1538" w:rsidRDefault="00352EF9" w:rsidP="00352EF9">
            <w:pPr>
              <w:jc w:val="center"/>
              <w:rPr>
                <w:rFonts w:cs="Arial"/>
                <w:lang w:val="fr-FR"/>
              </w:rPr>
            </w:pPr>
            <w:r w:rsidRPr="007F1538">
              <w:rPr>
                <w:rFonts w:cs="Arial"/>
                <w:lang w:val="fr-FR"/>
              </w:rPr>
              <w:t>446</w:t>
            </w:r>
          </w:p>
        </w:tc>
      </w:tr>
    </w:tbl>
    <w:p w:rsidR="00A4337C" w:rsidRPr="007F1538" w:rsidRDefault="00A4337C" w:rsidP="00174E07">
      <w:pPr>
        <w:rPr>
          <w:rFonts w:cs="Arial"/>
          <w:lang w:val="fr-FR"/>
        </w:rPr>
      </w:pPr>
    </w:p>
    <w:p w:rsidR="00A4337C" w:rsidRPr="007F1538" w:rsidRDefault="00285E1C" w:rsidP="00285E1C">
      <w:pPr>
        <w:spacing w:after="60"/>
        <w:rPr>
          <w:rFonts w:cs="Arial"/>
          <w:lang w:val="fr-FR"/>
        </w:rPr>
      </w:pPr>
      <w:r w:rsidRPr="00285E1C">
        <w:rPr>
          <w:rFonts w:cs="Arial"/>
          <w:lang w:val="fr-FR"/>
        </w:rPr>
        <w:t>Tableau h-Wal :</w:t>
      </w:r>
      <w:r w:rsidR="00A4337C" w:rsidRPr="007F1538">
        <w:rPr>
          <w:rFonts w:cs="Arial"/>
          <w:lang w:val="fr-FR"/>
        </w:rPr>
        <w:t xml:space="preserve"> </w:t>
      </w:r>
      <w:r w:rsidRPr="00285E1C">
        <w:rPr>
          <w:rFonts w:cs="Arial"/>
          <w:lang w:val="fr-FR"/>
        </w:rPr>
        <w:t>répartition de la portée en % des travailleurs selon le statut en Wallonie</w:t>
      </w:r>
    </w:p>
    <w:tbl>
      <w:tblPr>
        <w:tblW w:w="8123" w:type="dxa"/>
        <w:tblInd w:w="98" w:type="dxa"/>
        <w:tblLook w:val="0000"/>
      </w:tblPr>
      <w:tblGrid>
        <w:gridCol w:w="1797"/>
        <w:gridCol w:w="1533"/>
        <w:gridCol w:w="1535"/>
        <w:gridCol w:w="1518"/>
        <w:gridCol w:w="1740"/>
      </w:tblGrid>
      <w:tr w:rsidR="0034057B" w:rsidRPr="007F1538" w:rsidTr="00285E1C">
        <w:tc>
          <w:tcPr>
            <w:tcW w:w="1797" w:type="dxa"/>
            <w:tcBorders>
              <w:top w:val="single" w:sz="8" w:space="0" w:color="auto"/>
              <w:left w:val="single" w:sz="8" w:space="0" w:color="auto"/>
              <w:bottom w:val="double" w:sz="6" w:space="0" w:color="auto"/>
              <w:right w:val="double" w:sz="6" w:space="0" w:color="auto"/>
            </w:tcBorders>
            <w:shd w:val="clear" w:color="auto" w:fill="auto"/>
            <w:vAlign w:val="bottom"/>
          </w:tcPr>
          <w:p w:rsidR="0034057B" w:rsidRPr="007F1538" w:rsidRDefault="00285E1C" w:rsidP="00690B4E">
            <w:pPr>
              <w:rPr>
                <w:rFonts w:cs="Arial"/>
                <w:lang w:val="fr-FR" w:eastAsia="en-US"/>
              </w:rPr>
            </w:pPr>
            <w:r w:rsidRPr="00285E1C">
              <w:rPr>
                <w:rFonts w:cs="Arial"/>
                <w:lang w:val="fr-FR" w:eastAsia="en-US"/>
              </w:rPr>
              <w:t>Statut</w:t>
            </w:r>
          </w:p>
        </w:tc>
        <w:tc>
          <w:tcPr>
            <w:tcW w:w="1533"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583EE9">
              <w:rPr>
                <w:rFonts w:cs="Arial"/>
                <w:lang w:val="fr-FR" w:eastAsia="en-US"/>
              </w:rPr>
              <w:t xml:space="preserve">Couverture de l’IFP </w:t>
            </w:r>
            <w:r w:rsidR="00583EE9" w:rsidRPr="00583EE9">
              <w:rPr>
                <w:rFonts w:cs="Arial"/>
                <w:lang w:val="fr-FR" w:eastAsia="en-US"/>
              </w:rPr>
              <w:t>e</w:t>
            </w:r>
            <w:r w:rsidRPr="00583EE9">
              <w:rPr>
                <w:rFonts w:cs="Arial"/>
                <w:lang w:val="fr-FR" w:eastAsia="en-US"/>
              </w:rPr>
              <w:t>n 2008</w:t>
            </w:r>
          </w:p>
        </w:tc>
        <w:tc>
          <w:tcPr>
            <w:tcW w:w="1535"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583EE9">
              <w:rPr>
                <w:rFonts w:cs="Arial"/>
                <w:lang w:val="fr-FR" w:eastAsia="en-US"/>
              </w:rPr>
              <w:t xml:space="preserve">Couverture de l’IFP </w:t>
            </w:r>
            <w:r w:rsidR="00583EE9" w:rsidRPr="00583EE9">
              <w:rPr>
                <w:rFonts w:cs="Arial"/>
                <w:lang w:val="fr-FR" w:eastAsia="en-US"/>
              </w:rPr>
              <w:t>e</w:t>
            </w:r>
            <w:r w:rsidRPr="00583EE9">
              <w:rPr>
                <w:rFonts w:cs="Arial"/>
                <w:lang w:val="fr-FR" w:eastAsia="en-US"/>
              </w:rPr>
              <w:t>n 2009</w:t>
            </w:r>
          </w:p>
        </w:tc>
        <w:tc>
          <w:tcPr>
            <w:tcW w:w="1518"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285E1C">
              <w:rPr>
                <w:rFonts w:cs="Arial"/>
                <w:lang w:val="fr-FR" w:eastAsia="en-US"/>
              </w:rPr>
              <w:t>Travailleurs</w:t>
            </w:r>
          </w:p>
        </w:tc>
        <w:tc>
          <w:tcPr>
            <w:tcW w:w="1740"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285E1C">
              <w:rPr>
                <w:rFonts w:cs="Arial"/>
                <w:lang w:val="fr-FR" w:eastAsia="en-US"/>
              </w:rPr>
              <w:t>Population</w:t>
            </w:r>
          </w:p>
        </w:tc>
      </w:tr>
      <w:tr w:rsidR="00352EF9" w:rsidRPr="007F1538" w:rsidTr="00285E1C">
        <w:tc>
          <w:tcPr>
            <w:tcW w:w="1797"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Ouvrier</w:t>
            </w:r>
          </w:p>
        </w:tc>
        <w:tc>
          <w:tcPr>
            <w:tcW w:w="1533"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13,23%</w:t>
            </w:r>
          </w:p>
        </w:tc>
        <w:tc>
          <w:tcPr>
            <w:tcW w:w="153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13,07%</w:t>
            </w:r>
          </w:p>
        </w:tc>
        <w:tc>
          <w:tcPr>
            <w:tcW w:w="151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1.918</w:t>
            </w:r>
          </w:p>
        </w:tc>
        <w:tc>
          <w:tcPr>
            <w:tcW w:w="174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14.673</w:t>
            </w:r>
          </w:p>
        </w:tc>
      </w:tr>
      <w:tr w:rsidR="00352EF9" w:rsidRPr="007F1538" w:rsidTr="00285E1C">
        <w:tc>
          <w:tcPr>
            <w:tcW w:w="1797"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Employé</w:t>
            </w:r>
          </w:p>
        </w:tc>
        <w:tc>
          <w:tcPr>
            <w:tcW w:w="1533"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12,98%</w:t>
            </w:r>
          </w:p>
        </w:tc>
        <w:tc>
          <w:tcPr>
            <w:tcW w:w="153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12,19%</w:t>
            </w:r>
          </w:p>
        </w:tc>
        <w:tc>
          <w:tcPr>
            <w:tcW w:w="151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789</w:t>
            </w:r>
          </w:p>
        </w:tc>
        <w:tc>
          <w:tcPr>
            <w:tcW w:w="174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6.471</w:t>
            </w:r>
          </w:p>
        </w:tc>
      </w:tr>
      <w:tr w:rsidR="00352EF9" w:rsidRPr="007F1538" w:rsidTr="00285E1C">
        <w:tc>
          <w:tcPr>
            <w:tcW w:w="1797"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i/>
                <w:iCs/>
                <w:lang w:val="fr-FR" w:eastAsia="en-US"/>
              </w:rPr>
            </w:pPr>
            <w:r w:rsidRPr="00285E1C">
              <w:rPr>
                <w:rFonts w:cs="Arial"/>
                <w:i/>
                <w:iCs/>
                <w:lang w:val="fr-FR" w:eastAsia="en-US"/>
              </w:rPr>
              <w:t>Total</w:t>
            </w:r>
          </w:p>
        </w:tc>
        <w:tc>
          <w:tcPr>
            <w:tcW w:w="1533"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13,15%</w:t>
            </w:r>
          </w:p>
        </w:tc>
        <w:tc>
          <w:tcPr>
            <w:tcW w:w="1535"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12,80%</w:t>
            </w:r>
          </w:p>
        </w:tc>
        <w:tc>
          <w:tcPr>
            <w:tcW w:w="1518"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2.707</w:t>
            </w:r>
          </w:p>
        </w:tc>
        <w:tc>
          <w:tcPr>
            <w:tcW w:w="1740"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21.144</w:t>
            </w:r>
          </w:p>
        </w:tc>
      </w:tr>
    </w:tbl>
    <w:p w:rsidR="00A4337C" w:rsidRPr="007F1538" w:rsidRDefault="00A4337C" w:rsidP="00A4337C">
      <w:pPr>
        <w:rPr>
          <w:rFonts w:cs="Arial"/>
          <w:lang w:val="fr-FR"/>
        </w:rPr>
      </w:pPr>
    </w:p>
    <w:p w:rsidR="00A4337C" w:rsidRPr="007F1538" w:rsidRDefault="00285E1C" w:rsidP="00285E1C">
      <w:pPr>
        <w:spacing w:after="60"/>
        <w:rPr>
          <w:rFonts w:cs="Arial"/>
          <w:lang w:val="fr-FR"/>
        </w:rPr>
      </w:pPr>
      <w:r w:rsidRPr="00285E1C">
        <w:rPr>
          <w:rFonts w:cs="Arial"/>
          <w:lang w:val="fr-FR"/>
        </w:rPr>
        <w:t>Tableau i-Wal :</w:t>
      </w:r>
      <w:r w:rsidR="00A4337C" w:rsidRPr="007F1538">
        <w:rPr>
          <w:rFonts w:cs="Arial"/>
          <w:lang w:val="fr-FR"/>
        </w:rPr>
        <w:t xml:space="preserve"> </w:t>
      </w:r>
      <w:r w:rsidRPr="00285E1C">
        <w:rPr>
          <w:rFonts w:cs="Arial"/>
          <w:lang w:val="fr-FR"/>
        </w:rPr>
        <w:t>répartition en % des travailleurs touchés en fonction du genre en Wallonie</w:t>
      </w:r>
    </w:p>
    <w:tbl>
      <w:tblPr>
        <w:tblW w:w="7943" w:type="dxa"/>
        <w:tblInd w:w="98" w:type="dxa"/>
        <w:tblLook w:val="0000"/>
      </w:tblPr>
      <w:tblGrid>
        <w:gridCol w:w="1665"/>
        <w:gridCol w:w="1529"/>
        <w:gridCol w:w="1529"/>
        <w:gridCol w:w="1519"/>
        <w:gridCol w:w="1701"/>
      </w:tblGrid>
      <w:tr w:rsidR="0034057B" w:rsidRPr="007F1538" w:rsidTr="00285E1C">
        <w:tc>
          <w:tcPr>
            <w:tcW w:w="1665" w:type="dxa"/>
            <w:tcBorders>
              <w:top w:val="single" w:sz="8" w:space="0" w:color="auto"/>
              <w:left w:val="single" w:sz="8" w:space="0" w:color="auto"/>
              <w:bottom w:val="double" w:sz="6" w:space="0" w:color="auto"/>
              <w:right w:val="double" w:sz="6" w:space="0" w:color="auto"/>
            </w:tcBorders>
            <w:shd w:val="clear" w:color="auto" w:fill="auto"/>
            <w:vAlign w:val="bottom"/>
          </w:tcPr>
          <w:p w:rsidR="0034057B" w:rsidRPr="007F1538" w:rsidRDefault="00285E1C" w:rsidP="00690B4E">
            <w:pPr>
              <w:rPr>
                <w:rFonts w:cs="Arial"/>
                <w:lang w:val="fr-FR" w:eastAsia="en-US"/>
              </w:rPr>
            </w:pPr>
            <w:r w:rsidRPr="00285E1C">
              <w:rPr>
                <w:rFonts w:cs="Arial"/>
                <w:lang w:val="fr-FR" w:eastAsia="en-US"/>
              </w:rPr>
              <w:t>Genre</w:t>
            </w:r>
          </w:p>
        </w:tc>
        <w:tc>
          <w:tcPr>
            <w:tcW w:w="1529"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583EE9">
              <w:rPr>
                <w:rFonts w:cs="Arial"/>
                <w:lang w:val="fr-FR" w:eastAsia="en-US"/>
              </w:rPr>
              <w:t xml:space="preserve">Couverture de l’IFP </w:t>
            </w:r>
            <w:r w:rsidR="00583EE9" w:rsidRPr="00583EE9">
              <w:rPr>
                <w:rFonts w:cs="Arial"/>
                <w:lang w:val="fr-FR" w:eastAsia="en-US"/>
              </w:rPr>
              <w:t>e</w:t>
            </w:r>
            <w:r w:rsidRPr="00583EE9">
              <w:rPr>
                <w:rFonts w:cs="Arial"/>
                <w:lang w:val="fr-FR" w:eastAsia="en-US"/>
              </w:rPr>
              <w:t>n 2008</w:t>
            </w:r>
          </w:p>
        </w:tc>
        <w:tc>
          <w:tcPr>
            <w:tcW w:w="1529"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583EE9">
              <w:rPr>
                <w:rFonts w:cs="Arial"/>
                <w:lang w:val="fr-FR" w:eastAsia="en-US"/>
              </w:rPr>
              <w:t xml:space="preserve">Couverture de l’IFP </w:t>
            </w:r>
            <w:r w:rsidR="00583EE9" w:rsidRPr="00583EE9">
              <w:rPr>
                <w:rFonts w:cs="Arial"/>
                <w:lang w:val="fr-FR" w:eastAsia="en-US"/>
              </w:rPr>
              <w:t>e</w:t>
            </w:r>
            <w:r w:rsidRPr="00583EE9">
              <w:rPr>
                <w:rFonts w:cs="Arial"/>
                <w:lang w:val="fr-FR" w:eastAsia="en-US"/>
              </w:rPr>
              <w:t>n 2009</w:t>
            </w:r>
          </w:p>
        </w:tc>
        <w:tc>
          <w:tcPr>
            <w:tcW w:w="1519"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285E1C">
              <w:rPr>
                <w:rFonts w:cs="Arial"/>
                <w:lang w:val="fr-FR" w:eastAsia="en-US"/>
              </w:rPr>
              <w:t>Travailleurs</w:t>
            </w:r>
          </w:p>
        </w:tc>
        <w:tc>
          <w:tcPr>
            <w:tcW w:w="1701"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285E1C" w:rsidP="00690B4E">
            <w:pPr>
              <w:jc w:val="center"/>
              <w:rPr>
                <w:rFonts w:cs="Arial"/>
                <w:lang w:val="fr-FR" w:eastAsia="en-US"/>
              </w:rPr>
            </w:pPr>
            <w:r w:rsidRPr="00285E1C">
              <w:rPr>
                <w:rFonts w:cs="Arial"/>
                <w:lang w:val="fr-FR" w:eastAsia="en-US"/>
              </w:rPr>
              <w:t>Population</w:t>
            </w:r>
          </w:p>
        </w:tc>
      </w:tr>
      <w:tr w:rsidR="00352EF9" w:rsidRPr="007F1538" w:rsidTr="00285E1C">
        <w:tc>
          <w:tcPr>
            <w:tcW w:w="1665"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Femme</w:t>
            </w:r>
          </w:p>
        </w:tc>
        <w:tc>
          <w:tcPr>
            <w:tcW w:w="152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9,14%</w:t>
            </w:r>
          </w:p>
        </w:tc>
        <w:tc>
          <w:tcPr>
            <w:tcW w:w="152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7,96%</w:t>
            </w:r>
          </w:p>
        </w:tc>
        <w:tc>
          <w:tcPr>
            <w:tcW w:w="151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563</w:t>
            </w:r>
          </w:p>
        </w:tc>
        <w:tc>
          <w:tcPr>
            <w:tcW w:w="1701"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7.070</w:t>
            </w:r>
          </w:p>
        </w:tc>
      </w:tr>
      <w:tr w:rsidR="00352EF9" w:rsidRPr="007F1538" w:rsidTr="00285E1C">
        <w:tc>
          <w:tcPr>
            <w:tcW w:w="1665"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lang w:val="fr-FR" w:eastAsia="en-US"/>
              </w:rPr>
            </w:pPr>
            <w:r w:rsidRPr="00285E1C">
              <w:rPr>
                <w:rFonts w:cs="Arial"/>
                <w:lang w:val="fr-FR" w:eastAsia="en-US"/>
              </w:rPr>
              <w:t>Homme</w:t>
            </w:r>
          </w:p>
        </w:tc>
        <w:tc>
          <w:tcPr>
            <w:tcW w:w="152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15,17%</w:t>
            </w:r>
          </w:p>
        </w:tc>
        <w:tc>
          <w:tcPr>
            <w:tcW w:w="152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15,23%</w:t>
            </w:r>
          </w:p>
        </w:tc>
        <w:tc>
          <w:tcPr>
            <w:tcW w:w="151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2.144</w:t>
            </w:r>
          </w:p>
        </w:tc>
        <w:tc>
          <w:tcPr>
            <w:tcW w:w="1701"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14.074</w:t>
            </w:r>
          </w:p>
        </w:tc>
      </w:tr>
      <w:tr w:rsidR="00352EF9" w:rsidRPr="007F1538" w:rsidTr="00285E1C">
        <w:tc>
          <w:tcPr>
            <w:tcW w:w="1665" w:type="dxa"/>
            <w:tcBorders>
              <w:top w:val="nil"/>
              <w:left w:val="single" w:sz="8" w:space="0" w:color="auto"/>
              <w:bottom w:val="single" w:sz="8" w:space="0" w:color="auto"/>
              <w:right w:val="double" w:sz="6" w:space="0" w:color="auto"/>
            </w:tcBorders>
            <w:shd w:val="clear" w:color="auto" w:fill="auto"/>
            <w:vAlign w:val="bottom"/>
          </w:tcPr>
          <w:p w:rsidR="00352EF9" w:rsidRPr="007F1538" w:rsidRDefault="00285E1C" w:rsidP="00690B4E">
            <w:pPr>
              <w:rPr>
                <w:rFonts w:cs="Arial"/>
                <w:i/>
                <w:lang w:val="fr-FR" w:eastAsia="en-US"/>
              </w:rPr>
            </w:pPr>
            <w:r w:rsidRPr="00285E1C">
              <w:rPr>
                <w:rFonts w:cs="Arial"/>
                <w:i/>
                <w:lang w:val="fr-FR" w:eastAsia="en-US"/>
              </w:rPr>
              <w:t>Total</w:t>
            </w:r>
          </w:p>
        </w:tc>
        <w:tc>
          <w:tcPr>
            <w:tcW w:w="152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13,15%</w:t>
            </w:r>
          </w:p>
        </w:tc>
        <w:tc>
          <w:tcPr>
            <w:tcW w:w="152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12,80%</w:t>
            </w:r>
          </w:p>
        </w:tc>
        <w:tc>
          <w:tcPr>
            <w:tcW w:w="1519"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2.707</w:t>
            </w:r>
          </w:p>
        </w:tc>
        <w:tc>
          <w:tcPr>
            <w:tcW w:w="1701" w:type="dxa"/>
            <w:tcBorders>
              <w:top w:val="nil"/>
              <w:left w:val="nil"/>
              <w:bottom w:val="single" w:sz="8" w:space="0" w:color="auto"/>
              <w:right w:val="single" w:sz="8" w:space="0" w:color="auto"/>
            </w:tcBorders>
            <w:shd w:val="clear" w:color="auto" w:fill="auto"/>
            <w:vAlign w:val="bottom"/>
          </w:tcPr>
          <w:p w:rsidR="00352EF9" w:rsidRPr="007F1538" w:rsidRDefault="00352EF9" w:rsidP="00352EF9">
            <w:pPr>
              <w:jc w:val="center"/>
              <w:rPr>
                <w:rFonts w:cs="Arial"/>
                <w:lang w:val="fr-FR"/>
              </w:rPr>
            </w:pPr>
            <w:r w:rsidRPr="007F1538">
              <w:rPr>
                <w:rFonts w:cs="Arial"/>
                <w:lang w:val="fr-FR"/>
              </w:rPr>
              <w:t>21.144</w:t>
            </w:r>
          </w:p>
        </w:tc>
      </w:tr>
    </w:tbl>
    <w:p w:rsidR="00A4337C" w:rsidRPr="007F1538" w:rsidRDefault="00A4337C" w:rsidP="00174E07">
      <w:pPr>
        <w:rPr>
          <w:lang w:val="fr-FR"/>
        </w:rPr>
      </w:pPr>
    </w:p>
    <w:p w:rsidR="009B274A" w:rsidRPr="007F1538" w:rsidRDefault="00285E1C" w:rsidP="009B274A">
      <w:pPr>
        <w:rPr>
          <w:rFonts w:cs="Arial"/>
          <w:lang w:val="fr-FR"/>
        </w:rPr>
      </w:pPr>
      <w:r w:rsidRPr="00285E1C">
        <w:rPr>
          <w:rFonts w:cs="Arial"/>
          <w:lang w:val="fr-FR"/>
        </w:rPr>
        <w:t>Répartitions des participants en 2009 en Wallonie selon la rubrique de formation et la taille de leur employeur</w:t>
      </w:r>
    </w:p>
    <w:p w:rsidR="009B274A" w:rsidRPr="00295937" w:rsidRDefault="00295937" w:rsidP="00295937">
      <w:pPr>
        <w:pStyle w:val="ListParagraph"/>
        <w:numPr>
          <w:ilvl w:val="0"/>
          <w:numId w:val="49"/>
        </w:numPr>
        <w:rPr>
          <w:b/>
          <w:highlight w:val="red"/>
          <w:lang w:val="fr-FR"/>
        </w:rPr>
      </w:pPr>
      <w:r w:rsidRPr="00295937">
        <w:rPr>
          <w:b/>
          <w:highlight w:val="red"/>
          <w:lang w:val="fr-FR"/>
        </w:rPr>
        <w:t>Attention légende en NL</w:t>
      </w:r>
    </w:p>
    <w:p w:rsidR="001B6E70" w:rsidRPr="007F1538" w:rsidRDefault="00462A51" w:rsidP="00174E07">
      <w:pPr>
        <w:rPr>
          <w:lang w:val="fr-FR"/>
        </w:rPr>
      </w:pPr>
      <w:r w:rsidRPr="007F1538">
        <w:rPr>
          <w:noProof/>
          <w:lang w:eastAsia="nl-BE"/>
        </w:rPr>
        <w:lastRenderedPageBreak/>
        <w:drawing>
          <wp:inline distT="0" distB="0" distL="0" distR="0">
            <wp:extent cx="5738629" cy="2979509"/>
            <wp:effectExtent l="11764" t="5893" r="5882" b="368"/>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C73C2" w:rsidRDefault="00BC73C2" w:rsidP="00BC73C2">
      <w:pPr>
        <w:rPr>
          <w:lang w:val="fr-FR"/>
        </w:rPr>
      </w:pPr>
      <w:bookmarkStart w:id="124" w:name="_Toc231044728"/>
      <w:bookmarkStart w:id="125" w:name="_Toc233192592"/>
    </w:p>
    <w:p w:rsidR="00BC73C2" w:rsidRDefault="00BC73C2" w:rsidP="00BC73C2">
      <w:pPr>
        <w:rPr>
          <w:lang w:val="fr-FR"/>
        </w:rPr>
      </w:pPr>
    </w:p>
    <w:p w:rsidR="00BC73C2" w:rsidRDefault="00BC73C2" w:rsidP="00BC73C2">
      <w:pPr>
        <w:rPr>
          <w:lang w:val="fr-FR"/>
        </w:rPr>
      </w:pPr>
      <w:r w:rsidRPr="00BC73C2">
        <w:rPr>
          <w:highlight w:val="cyan"/>
          <w:lang w:val="fr-FR"/>
        </w:rPr>
        <w:t>Idem als pagina 19</w:t>
      </w:r>
    </w:p>
    <w:p w:rsidR="00BC73C2" w:rsidRDefault="00BC73C2" w:rsidP="00BC73C2">
      <w:pPr>
        <w:rPr>
          <w:lang w:val="fr-FR"/>
        </w:rPr>
      </w:pPr>
    </w:p>
    <w:p w:rsidR="00BC73C2" w:rsidRDefault="00BC73C2" w:rsidP="00BC73C2">
      <w:pPr>
        <w:rPr>
          <w:lang w:val="fr-FR"/>
        </w:rPr>
      </w:pPr>
    </w:p>
    <w:p w:rsidR="001B6E70" w:rsidRPr="007F1538" w:rsidRDefault="006A03C6" w:rsidP="00C146C3">
      <w:pPr>
        <w:pStyle w:val="Heading3"/>
        <w:rPr>
          <w:lang w:val="fr-FR"/>
        </w:rPr>
      </w:pPr>
      <w:r w:rsidRPr="007F1538">
        <w:rPr>
          <w:lang w:val="fr-FR"/>
        </w:rPr>
        <w:br w:type="page"/>
      </w:r>
      <w:bookmarkStart w:id="126" w:name="_Toc233194356"/>
      <w:bookmarkStart w:id="127" w:name="_Toc233194511"/>
      <w:bookmarkStart w:id="128" w:name="_Toc233607068"/>
      <w:bookmarkStart w:id="129" w:name="_Toc263170613"/>
      <w:bookmarkStart w:id="130" w:name="_Toc267060142"/>
      <w:bookmarkStart w:id="131" w:name="_Toc269220696"/>
      <w:r w:rsidR="00285E1C" w:rsidRPr="00285E1C">
        <w:rPr>
          <w:lang w:val="fr-FR"/>
        </w:rPr>
        <w:lastRenderedPageBreak/>
        <w:t>Annexe 2c :</w:t>
      </w:r>
      <w:r w:rsidR="001B6E70" w:rsidRPr="007F1538">
        <w:rPr>
          <w:lang w:val="fr-FR"/>
        </w:rPr>
        <w:t xml:space="preserve"> </w:t>
      </w:r>
      <w:bookmarkEnd w:id="124"/>
      <w:bookmarkEnd w:id="125"/>
      <w:bookmarkEnd w:id="126"/>
      <w:bookmarkEnd w:id="127"/>
      <w:bookmarkEnd w:id="128"/>
      <w:bookmarkEnd w:id="129"/>
      <w:r w:rsidR="00285E1C" w:rsidRPr="00C146C3">
        <w:rPr>
          <w:lang w:val="fr-FR"/>
        </w:rPr>
        <w:t>Bruxelles</w:t>
      </w:r>
      <w:bookmarkEnd w:id="130"/>
      <w:bookmarkEnd w:id="131"/>
    </w:p>
    <w:p w:rsidR="000F315B" w:rsidRPr="007F1538" w:rsidRDefault="000F315B" w:rsidP="00174E07">
      <w:pPr>
        <w:rPr>
          <w:rFonts w:cs="Arial"/>
          <w:b/>
          <w:i/>
          <w:sz w:val="22"/>
          <w:szCs w:val="22"/>
          <w:u w:val="single"/>
          <w:lang w:val="fr-FR"/>
        </w:rPr>
      </w:pPr>
    </w:p>
    <w:p w:rsidR="001B6E70" w:rsidRPr="007F1538" w:rsidRDefault="00C146C3" w:rsidP="00174E07">
      <w:pPr>
        <w:rPr>
          <w:rFonts w:cs="Arial"/>
          <w:lang w:val="fr-FR"/>
        </w:rPr>
      </w:pPr>
      <w:r w:rsidRPr="00C146C3">
        <w:rPr>
          <w:rFonts w:cs="Arial"/>
          <w:lang w:val="fr-FR"/>
        </w:rPr>
        <w:t>Tableau f-Bru :</w:t>
      </w:r>
      <w:r w:rsidR="001B6E70" w:rsidRPr="007F1538">
        <w:rPr>
          <w:rFonts w:cs="Arial"/>
          <w:lang w:val="fr-FR"/>
        </w:rPr>
        <w:t xml:space="preserve"> </w:t>
      </w:r>
      <w:r w:rsidRPr="00C146C3">
        <w:rPr>
          <w:rFonts w:cs="Arial"/>
          <w:lang w:val="fr-FR"/>
        </w:rPr>
        <w:t>couverture auprès des employeurs en % du nombre d’entreprises selon la taille de l’entreprise à Bruxelles</w:t>
      </w:r>
    </w:p>
    <w:p w:rsidR="001B6E70" w:rsidRPr="007F1538" w:rsidRDefault="001B6E70" w:rsidP="00174E07">
      <w:pPr>
        <w:rPr>
          <w:rFonts w:cs="Arial"/>
          <w:lang w:val="fr-FR"/>
        </w:rPr>
      </w:pPr>
    </w:p>
    <w:tbl>
      <w:tblPr>
        <w:tblW w:w="7956" w:type="dxa"/>
        <w:tblInd w:w="98" w:type="dxa"/>
        <w:tblLook w:val="0000"/>
      </w:tblPr>
      <w:tblGrid>
        <w:gridCol w:w="1415"/>
        <w:gridCol w:w="1591"/>
        <w:gridCol w:w="1591"/>
        <w:gridCol w:w="1768"/>
        <w:gridCol w:w="1591"/>
      </w:tblGrid>
      <w:tr w:rsidR="0012431A" w:rsidRPr="007F1538" w:rsidTr="00C146C3">
        <w:tc>
          <w:tcPr>
            <w:tcW w:w="1415"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12431A" w:rsidRPr="007F1538" w:rsidRDefault="0012431A" w:rsidP="0012431A">
            <w:pPr>
              <w:rPr>
                <w:rFonts w:cs="Arial"/>
                <w:lang w:val="fr-FR" w:eastAsia="en-US"/>
              </w:rPr>
            </w:pPr>
            <w:r w:rsidRPr="007F1538">
              <w:rPr>
                <w:rFonts w:cs="Arial"/>
                <w:lang w:val="fr-FR" w:eastAsia="en-US"/>
              </w:rPr>
              <w:t> </w:t>
            </w:r>
          </w:p>
        </w:tc>
        <w:tc>
          <w:tcPr>
            <w:tcW w:w="159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12431A" w:rsidRPr="007F1538" w:rsidRDefault="006A5098" w:rsidP="0012431A">
            <w:pPr>
              <w:jc w:val="center"/>
              <w:rPr>
                <w:rFonts w:cs="Arial"/>
                <w:lang w:val="fr-FR" w:eastAsia="en-US"/>
              </w:rPr>
            </w:pPr>
            <w:r w:rsidRPr="007F1538">
              <w:rPr>
                <w:rFonts w:cs="Arial"/>
                <w:lang w:val="fr-FR" w:eastAsia="en-US"/>
              </w:rPr>
              <w:t>2008</w:t>
            </w:r>
          </w:p>
        </w:tc>
        <w:tc>
          <w:tcPr>
            <w:tcW w:w="159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12431A" w:rsidRPr="007F1538" w:rsidRDefault="006A5098" w:rsidP="0012431A">
            <w:pPr>
              <w:jc w:val="center"/>
              <w:rPr>
                <w:rFonts w:cs="Arial"/>
                <w:lang w:val="fr-FR" w:eastAsia="en-US"/>
              </w:rPr>
            </w:pPr>
            <w:r w:rsidRPr="007F1538">
              <w:rPr>
                <w:rFonts w:cs="Arial"/>
                <w:lang w:val="fr-FR" w:eastAsia="en-US"/>
              </w:rPr>
              <w:t>2009</w:t>
            </w:r>
          </w:p>
        </w:tc>
        <w:tc>
          <w:tcPr>
            <w:tcW w:w="3359" w:type="dxa"/>
            <w:gridSpan w:val="2"/>
            <w:tcBorders>
              <w:top w:val="single" w:sz="8" w:space="0" w:color="auto"/>
              <w:left w:val="nil"/>
              <w:bottom w:val="single" w:sz="8" w:space="0" w:color="auto"/>
              <w:right w:val="single" w:sz="8" w:space="0" w:color="000000"/>
            </w:tcBorders>
            <w:shd w:val="clear" w:color="auto" w:fill="auto"/>
            <w:vAlign w:val="bottom"/>
          </w:tcPr>
          <w:p w:rsidR="0012431A" w:rsidRPr="007F1538" w:rsidRDefault="006A5098" w:rsidP="0012431A">
            <w:pPr>
              <w:jc w:val="center"/>
              <w:rPr>
                <w:rFonts w:cs="Arial"/>
                <w:lang w:val="fr-FR" w:eastAsia="en-US"/>
              </w:rPr>
            </w:pPr>
            <w:r w:rsidRPr="007F1538">
              <w:rPr>
                <w:rFonts w:cs="Arial"/>
                <w:lang w:val="fr-FR" w:eastAsia="en-US"/>
              </w:rPr>
              <w:t>2009</w:t>
            </w:r>
          </w:p>
        </w:tc>
      </w:tr>
      <w:tr w:rsidR="0012431A" w:rsidRPr="007F1538" w:rsidTr="00C146C3">
        <w:tc>
          <w:tcPr>
            <w:tcW w:w="1415" w:type="dxa"/>
            <w:vMerge/>
            <w:tcBorders>
              <w:top w:val="single" w:sz="8" w:space="0" w:color="auto"/>
              <w:left w:val="single" w:sz="8" w:space="0" w:color="auto"/>
              <w:bottom w:val="single" w:sz="8" w:space="0" w:color="000000"/>
              <w:right w:val="single" w:sz="8" w:space="0" w:color="auto"/>
            </w:tcBorders>
            <w:vAlign w:val="center"/>
          </w:tcPr>
          <w:p w:rsidR="0012431A" w:rsidRPr="007F1538" w:rsidRDefault="0012431A" w:rsidP="0012431A">
            <w:pPr>
              <w:rPr>
                <w:rFonts w:cs="Arial"/>
                <w:lang w:val="fr-FR" w:eastAsia="en-US"/>
              </w:rPr>
            </w:pPr>
          </w:p>
        </w:tc>
        <w:tc>
          <w:tcPr>
            <w:tcW w:w="1591" w:type="dxa"/>
            <w:vMerge/>
            <w:tcBorders>
              <w:top w:val="single" w:sz="8" w:space="0" w:color="auto"/>
              <w:left w:val="single" w:sz="8" w:space="0" w:color="auto"/>
              <w:bottom w:val="single" w:sz="8" w:space="0" w:color="000000"/>
              <w:right w:val="single" w:sz="8" w:space="0" w:color="auto"/>
            </w:tcBorders>
            <w:vAlign w:val="center"/>
          </w:tcPr>
          <w:p w:rsidR="0012431A" w:rsidRPr="007F1538" w:rsidRDefault="0012431A" w:rsidP="0012431A">
            <w:pPr>
              <w:rPr>
                <w:rFonts w:cs="Arial"/>
                <w:lang w:val="fr-FR" w:eastAsia="en-US"/>
              </w:rPr>
            </w:pPr>
          </w:p>
        </w:tc>
        <w:tc>
          <w:tcPr>
            <w:tcW w:w="1591" w:type="dxa"/>
            <w:vMerge/>
            <w:tcBorders>
              <w:top w:val="single" w:sz="8" w:space="0" w:color="auto"/>
              <w:left w:val="single" w:sz="8" w:space="0" w:color="auto"/>
              <w:bottom w:val="single" w:sz="8" w:space="0" w:color="000000"/>
              <w:right w:val="single" w:sz="8" w:space="0" w:color="auto"/>
            </w:tcBorders>
            <w:vAlign w:val="center"/>
          </w:tcPr>
          <w:p w:rsidR="0012431A" w:rsidRPr="007F1538" w:rsidRDefault="0012431A" w:rsidP="0012431A">
            <w:pPr>
              <w:rPr>
                <w:rFonts w:cs="Arial"/>
                <w:lang w:val="fr-FR" w:eastAsia="en-US"/>
              </w:rPr>
            </w:pPr>
          </w:p>
        </w:tc>
        <w:tc>
          <w:tcPr>
            <w:tcW w:w="1768" w:type="dxa"/>
            <w:tcBorders>
              <w:top w:val="nil"/>
              <w:left w:val="nil"/>
              <w:bottom w:val="single" w:sz="8" w:space="0" w:color="auto"/>
              <w:right w:val="single" w:sz="8" w:space="0" w:color="auto"/>
            </w:tcBorders>
            <w:shd w:val="clear" w:color="auto" w:fill="auto"/>
            <w:vAlign w:val="bottom"/>
          </w:tcPr>
          <w:p w:rsidR="0012431A" w:rsidRPr="007F1538" w:rsidRDefault="00C146C3" w:rsidP="00690B4E">
            <w:pPr>
              <w:jc w:val="center"/>
              <w:rPr>
                <w:rFonts w:cs="Arial"/>
                <w:lang w:val="fr-FR" w:eastAsia="en-US"/>
              </w:rPr>
            </w:pPr>
            <w:r w:rsidRPr="00C146C3">
              <w:rPr>
                <w:rFonts w:cs="Arial"/>
                <w:lang w:val="fr-FR" w:eastAsia="en-US"/>
              </w:rPr>
              <w:t>Couverture (abs.)</w:t>
            </w:r>
          </w:p>
        </w:tc>
        <w:tc>
          <w:tcPr>
            <w:tcW w:w="1591" w:type="dxa"/>
            <w:tcBorders>
              <w:top w:val="nil"/>
              <w:left w:val="nil"/>
              <w:bottom w:val="single" w:sz="8" w:space="0" w:color="auto"/>
              <w:right w:val="single" w:sz="8" w:space="0" w:color="auto"/>
            </w:tcBorders>
            <w:shd w:val="clear" w:color="auto" w:fill="auto"/>
            <w:vAlign w:val="bottom"/>
          </w:tcPr>
          <w:p w:rsidR="0012431A" w:rsidRPr="007F1538" w:rsidRDefault="00C146C3" w:rsidP="00690B4E">
            <w:pPr>
              <w:jc w:val="center"/>
              <w:rPr>
                <w:rFonts w:cs="Arial"/>
                <w:lang w:val="fr-FR" w:eastAsia="en-US"/>
              </w:rPr>
            </w:pPr>
            <w:r w:rsidRPr="00C146C3">
              <w:rPr>
                <w:rFonts w:cs="Arial"/>
                <w:lang w:val="fr-FR" w:eastAsia="en-US"/>
              </w:rPr>
              <w:t>Population</w:t>
            </w:r>
          </w:p>
        </w:tc>
      </w:tr>
      <w:tr w:rsidR="006A5098" w:rsidRPr="007F1538" w:rsidTr="00C146C3">
        <w:tc>
          <w:tcPr>
            <w:tcW w:w="1415" w:type="dxa"/>
            <w:tcBorders>
              <w:top w:val="nil"/>
              <w:left w:val="single" w:sz="8" w:space="0" w:color="auto"/>
              <w:bottom w:val="single" w:sz="8" w:space="0" w:color="auto"/>
              <w:right w:val="single" w:sz="8" w:space="0" w:color="auto"/>
            </w:tcBorders>
            <w:shd w:val="clear" w:color="auto" w:fill="auto"/>
          </w:tcPr>
          <w:p w:rsidR="006A5098" w:rsidRPr="007F1538" w:rsidRDefault="00C146C3" w:rsidP="00690B4E">
            <w:pPr>
              <w:rPr>
                <w:rFonts w:cs="Arial"/>
                <w:lang w:val="fr-FR" w:eastAsia="en-US"/>
              </w:rPr>
            </w:pPr>
            <w:r w:rsidRPr="00C146C3">
              <w:rPr>
                <w:rFonts w:cs="Arial"/>
                <w:lang w:val="fr-FR" w:eastAsia="en-US"/>
              </w:rPr>
              <w:t>&lt; 10 trav.</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lang w:val="fr-FR" w:eastAsia="en-US"/>
              </w:rPr>
            </w:pPr>
            <w:r w:rsidRPr="007F1538">
              <w:rPr>
                <w:rFonts w:cs="Arial"/>
                <w:lang w:val="fr-FR" w:eastAsia="en-US"/>
              </w:rPr>
              <w:t>3,8%</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1.0%</w:t>
            </w:r>
          </w:p>
        </w:tc>
        <w:tc>
          <w:tcPr>
            <w:tcW w:w="1768"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3</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291</w:t>
            </w:r>
          </w:p>
        </w:tc>
      </w:tr>
      <w:tr w:rsidR="006A5098" w:rsidRPr="007F1538" w:rsidTr="00C146C3">
        <w:tc>
          <w:tcPr>
            <w:tcW w:w="1415" w:type="dxa"/>
            <w:tcBorders>
              <w:top w:val="nil"/>
              <w:left w:val="single" w:sz="8" w:space="0" w:color="auto"/>
              <w:bottom w:val="single" w:sz="8" w:space="0" w:color="auto"/>
              <w:right w:val="single" w:sz="8" w:space="0" w:color="auto"/>
            </w:tcBorders>
            <w:shd w:val="clear" w:color="auto" w:fill="auto"/>
          </w:tcPr>
          <w:p w:rsidR="006A5098" w:rsidRPr="007F1538" w:rsidRDefault="00C146C3" w:rsidP="00690B4E">
            <w:pPr>
              <w:rPr>
                <w:rFonts w:cs="Arial"/>
                <w:lang w:val="fr-FR" w:eastAsia="en-US"/>
              </w:rPr>
            </w:pPr>
            <w:r w:rsidRPr="00C146C3">
              <w:rPr>
                <w:rFonts w:cs="Arial"/>
                <w:lang w:val="fr-FR" w:eastAsia="en-US"/>
              </w:rPr>
              <w:t>10-49 trav.</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lang w:val="fr-FR" w:eastAsia="en-US"/>
              </w:rPr>
            </w:pPr>
            <w:r w:rsidRPr="007F1538">
              <w:rPr>
                <w:rFonts w:cs="Arial"/>
                <w:lang w:val="fr-FR" w:eastAsia="en-US"/>
              </w:rPr>
              <w:t>50,0%</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17.2%</w:t>
            </w:r>
          </w:p>
        </w:tc>
        <w:tc>
          <w:tcPr>
            <w:tcW w:w="1768"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10</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58</w:t>
            </w:r>
          </w:p>
        </w:tc>
      </w:tr>
      <w:tr w:rsidR="006A5098" w:rsidRPr="007F1538" w:rsidTr="00C146C3">
        <w:tc>
          <w:tcPr>
            <w:tcW w:w="1415" w:type="dxa"/>
            <w:tcBorders>
              <w:top w:val="nil"/>
              <w:left w:val="single" w:sz="8" w:space="0" w:color="auto"/>
              <w:bottom w:val="single" w:sz="8" w:space="0" w:color="auto"/>
              <w:right w:val="single" w:sz="8" w:space="0" w:color="auto"/>
            </w:tcBorders>
            <w:shd w:val="clear" w:color="auto" w:fill="auto"/>
          </w:tcPr>
          <w:p w:rsidR="006A5098" w:rsidRPr="007F1538" w:rsidRDefault="00C146C3" w:rsidP="00690B4E">
            <w:pPr>
              <w:rPr>
                <w:rFonts w:cs="Arial"/>
                <w:lang w:val="fr-FR" w:eastAsia="en-US"/>
              </w:rPr>
            </w:pPr>
            <w:r w:rsidRPr="00C146C3">
              <w:rPr>
                <w:rFonts w:cs="Arial"/>
                <w:lang w:val="fr-FR" w:eastAsia="en-US"/>
              </w:rPr>
              <w:t>50-99 trav.</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lang w:val="fr-FR" w:eastAsia="en-US"/>
              </w:rPr>
            </w:pPr>
            <w:r w:rsidRPr="007F1538">
              <w:rPr>
                <w:rFonts w:cs="Arial"/>
                <w:lang w:val="fr-FR" w:eastAsia="en-US"/>
              </w:rPr>
              <w:t>87,5%</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75.0%</w:t>
            </w:r>
          </w:p>
        </w:tc>
        <w:tc>
          <w:tcPr>
            <w:tcW w:w="1768"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6</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8</w:t>
            </w:r>
          </w:p>
        </w:tc>
      </w:tr>
      <w:tr w:rsidR="006A5098" w:rsidRPr="007F1538" w:rsidTr="00C146C3">
        <w:tc>
          <w:tcPr>
            <w:tcW w:w="1415" w:type="dxa"/>
            <w:tcBorders>
              <w:top w:val="nil"/>
              <w:left w:val="single" w:sz="8" w:space="0" w:color="auto"/>
              <w:bottom w:val="single" w:sz="8" w:space="0" w:color="auto"/>
              <w:right w:val="single" w:sz="8" w:space="0" w:color="auto"/>
            </w:tcBorders>
            <w:shd w:val="clear" w:color="auto" w:fill="auto"/>
          </w:tcPr>
          <w:p w:rsidR="006A5098" w:rsidRPr="007F1538" w:rsidRDefault="00C146C3" w:rsidP="00690B4E">
            <w:pPr>
              <w:rPr>
                <w:rFonts w:cs="Arial"/>
                <w:lang w:val="fr-FR" w:eastAsia="en-US"/>
              </w:rPr>
            </w:pPr>
            <w:r w:rsidRPr="00C146C3">
              <w:rPr>
                <w:rFonts w:cs="Arial"/>
                <w:lang w:val="fr-FR" w:eastAsia="en-US"/>
              </w:rPr>
              <w:t>100 et + trav.</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lang w:val="fr-FR" w:eastAsia="en-US"/>
              </w:rPr>
            </w:pPr>
            <w:r w:rsidRPr="007F1538">
              <w:rPr>
                <w:rFonts w:cs="Arial"/>
                <w:lang w:val="fr-FR" w:eastAsia="en-US"/>
              </w:rPr>
              <w:t>100,0%</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100%</w:t>
            </w:r>
          </w:p>
        </w:tc>
        <w:tc>
          <w:tcPr>
            <w:tcW w:w="1768"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9</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lang w:val="fr-FR" w:eastAsia="en-US"/>
              </w:rPr>
            </w:pPr>
            <w:r w:rsidRPr="007F1538">
              <w:rPr>
                <w:rFonts w:cs="Arial"/>
                <w:lang w:val="fr-FR" w:eastAsia="en-US"/>
              </w:rPr>
              <w:t>9</w:t>
            </w:r>
          </w:p>
        </w:tc>
      </w:tr>
      <w:tr w:rsidR="006A5098" w:rsidRPr="007F1538" w:rsidTr="00C146C3">
        <w:tc>
          <w:tcPr>
            <w:tcW w:w="1415" w:type="dxa"/>
            <w:tcBorders>
              <w:top w:val="nil"/>
              <w:left w:val="single" w:sz="8" w:space="0" w:color="auto"/>
              <w:bottom w:val="single" w:sz="8" w:space="0" w:color="auto"/>
              <w:right w:val="single" w:sz="8" w:space="0" w:color="auto"/>
            </w:tcBorders>
            <w:shd w:val="clear" w:color="auto" w:fill="auto"/>
          </w:tcPr>
          <w:p w:rsidR="006A5098" w:rsidRPr="007F1538" w:rsidRDefault="00C146C3" w:rsidP="00690B4E">
            <w:pPr>
              <w:rPr>
                <w:rFonts w:cs="Arial"/>
                <w:i/>
                <w:iCs/>
                <w:lang w:val="fr-FR" w:eastAsia="en-US"/>
              </w:rPr>
            </w:pPr>
            <w:r w:rsidRPr="00C146C3">
              <w:rPr>
                <w:rFonts w:cs="Arial"/>
                <w:i/>
                <w:iCs/>
                <w:lang w:val="fr-FR" w:eastAsia="en-US"/>
              </w:rPr>
              <w:t>Total</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i/>
                <w:iCs/>
                <w:lang w:val="fr-FR" w:eastAsia="en-US"/>
              </w:rPr>
            </w:pPr>
            <w:r w:rsidRPr="007F1538">
              <w:rPr>
                <w:rFonts w:cs="Arial"/>
                <w:i/>
                <w:iCs/>
                <w:lang w:val="fr-FR" w:eastAsia="en-US"/>
              </w:rPr>
              <w:t>15,3%</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i/>
                <w:iCs/>
                <w:lang w:val="fr-FR" w:eastAsia="en-US"/>
              </w:rPr>
            </w:pPr>
            <w:r w:rsidRPr="007F1538">
              <w:rPr>
                <w:rFonts w:cs="Arial"/>
                <w:i/>
                <w:iCs/>
                <w:lang w:val="fr-FR" w:eastAsia="en-US"/>
              </w:rPr>
              <w:t>7.7%</w:t>
            </w:r>
          </w:p>
        </w:tc>
        <w:tc>
          <w:tcPr>
            <w:tcW w:w="1768" w:type="dxa"/>
            <w:tcBorders>
              <w:top w:val="nil"/>
              <w:left w:val="nil"/>
              <w:bottom w:val="single" w:sz="8" w:space="0" w:color="auto"/>
              <w:right w:val="single" w:sz="8" w:space="0" w:color="auto"/>
            </w:tcBorders>
            <w:shd w:val="clear" w:color="auto" w:fill="auto"/>
            <w:vAlign w:val="bottom"/>
          </w:tcPr>
          <w:p w:rsidR="006A5098" w:rsidRPr="007F1538" w:rsidRDefault="00460672" w:rsidP="0012431A">
            <w:pPr>
              <w:jc w:val="center"/>
              <w:rPr>
                <w:rFonts w:cs="Arial"/>
                <w:i/>
                <w:iCs/>
                <w:lang w:val="fr-FR" w:eastAsia="en-US"/>
              </w:rPr>
            </w:pPr>
            <w:r>
              <w:rPr>
                <w:rFonts w:cs="Arial"/>
                <w:i/>
                <w:iCs/>
                <w:lang w:val="fr-FR" w:eastAsia="en-US"/>
              </w:rPr>
              <w:t>28</w:t>
            </w:r>
          </w:p>
        </w:tc>
        <w:tc>
          <w:tcPr>
            <w:tcW w:w="1591" w:type="dxa"/>
            <w:tcBorders>
              <w:top w:val="nil"/>
              <w:left w:val="nil"/>
              <w:bottom w:val="single" w:sz="8" w:space="0" w:color="auto"/>
              <w:right w:val="single" w:sz="8" w:space="0" w:color="auto"/>
            </w:tcBorders>
            <w:shd w:val="clear" w:color="auto" w:fill="auto"/>
            <w:vAlign w:val="bottom"/>
          </w:tcPr>
          <w:p w:rsidR="006A5098" w:rsidRPr="007F1538" w:rsidRDefault="006A5098" w:rsidP="0012431A">
            <w:pPr>
              <w:jc w:val="center"/>
              <w:rPr>
                <w:rFonts w:cs="Arial"/>
                <w:i/>
                <w:iCs/>
                <w:lang w:val="fr-FR" w:eastAsia="en-US"/>
              </w:rPr>
            </w:pPr>
            <w:r w:rsidRPr="007F1538">
              <w:rPr>
                <w:rFonts w:cs="Arial"/>
                <w:i/>
                <w:iCs/>
                <w:lang w:val="fr-FR" w:eastAsia="en-US"/>
              </w:rPr>
              <w:t>366</w:t>
            </w:r>
          </w:p>
        </w:tc>
      </w:tr>
    </w:tbl>
    <w:p w:rsidR="001B6E70" w:rsidRPr="007F1538" w:rsidRDefault="001B6E70" w:rsidP="00174E07">
      <w:pPr>
        <w:rPr>
          <w:rFonts w:cs="Arial"/>
          <w:lang w:val="fr-FR"/>
        </w:rPr>
      </w:pPr>
    </w:p>
    <w:p w:rsidR="001B6E70" w:rsidRPr="007F1538" w:rsidRDefault="00C146C3" w:rsidP="00174E07">
      <w:pPr>
        <w:rPr>
          <w:rFonts w:cs="Arial"/>
          <w:lang w:val="fr-FR"/>
        </w:rPr>
      </w:pPr>
      <w:r w:rsidRPr="00C146C3">
        <w:rPr>
          <w:rFonts w:cs="Arial"/>
          <w:lang w:val="fr-FR"/>
        </w:rPr>
        <w:t>Tableau g-Bru :</w:t>
      </w:r>
      <w:r w:rsidR="001B6E70" w:rsidRPr="007F1538">
        <w:rPr>
          <w:rFonts w:cs="Arial"/>
          <w:lang w:val="fr-FR"/>
        </w:rPr>
        <w:t xml:space="preserve"> </w:t>
      </w:r>
      <w:r w:rsidRPr="00C146C3">
        <w:rPr>
          <w:rFonts w:cs="Arial"/>
          <w:lang w:val="fr-FR"/>
        </w:rPr>
        <w:t>couverture employeurs en % du sous-secteur à Bruxelles</w:t>
      </w:r>
    </w:p>
    <w:p w:rsidR="001B6E70" w:rsidRPr="007F1538" w:rsidRDefault="001B6E70" w:rsidP="00174E07">
      <w:pPr>
        <w:rPr>
          <w:rFonts w:cs="Arial"/>
          <w:lang w:val="fr-FR"/>
        </w:rPr>
      </w:pPr>
    </w:p>
    <w:tbl>
      <w:tblPr>
        <w:tblW w:w="8310" w:type="dxa"/>
        <w:tblInd w:w="98" w:type="dxa"/>
        <w:tblLook w:val="0000"/>
      </w:tblPr>
      <w:tblGrid>
        <w:gridCol w:w="5311"/>
        <w:gridCol w:w="1363"/>
        <w:gridCol w:w="1206"/>
        <w:gridCol w:w="1162"/>
      </w:tblGrid>
      <w:tr w:rsidR="0012431A" w:rsidRPr="007F1538" w:rsidTr="003511DA">
        <w:tc>
          <w:tcPr>
            <w:tcW w:w="5311" w:type="dxa"/>
            <w:tcBorders>
              <w:top w:val="single" w:sz="8" w:space="0" w:color="auto"/>
              <w:left w:val="single" w:sz="8" w:space="0" w:color="auto"/>
              <w:bottom w:val="single" w:sz="8" w:space="0" w:color="auto"/>
              <w:right w:val="single" w:sz="8" w:space="0" w:color="auto"/>
            </w:tcBorders>
            <w:shd w:val="clear" w:color="auto" w:fill="auto"/>
            <w:noWrap/>
          </w:tcPr>
          <w:p w:rsidR="0012431A" w:rsidRPr="007F1538" w:rsidRDefault="003511DA" w:rsidP="00690B4E">
            <w:pPr>
              <w:rPr>
                <w:rFonts w:cs="Arial"/>
                <w:lang w:val="fr-FR" w:eastAsia="en-US"/>
              </w:rPr>
            </w:pPr>
            <w:r w:rsidRPr="003511DA">
              <w:rPr>
                <w:rFonts w:cs="Arial"/>
                <w:lang w:val="fr-FR" w:eastAsia="en-US"/>
              </w:rPr>
              <w:t>Sous-secteur (selon code NACE)</w:t>
            </w:r>
          </w:p>
        </w:tc>
        <w:tc>
          <w:tcPr>
            <w:tcW w:w="1363" w:type="dxa"/>
            <w:tcBorders>
              <w:top w:val="single" w:sz="8" w:space="0" w:color="auto"/>
              <w:left w:val="nil"/>
              <w:bottom w:val="single" w:sz="8" w:space="0" w:color="auto"/>
              <w:right w:val="single" w:sz="8" w:space="0" w:color="auto"/>
            </w:tcBorders>
            <w:shd w:val="clear" w:color="auto" w:fill="auto"/>
            <w:noWrap/>
            <w:vAlign w:val="bottom"/>
          </w:tcPr>
          <w:p w:rsidR="0012431A" w:rsidRPr="007F1538" w:rsidRDefault="003511DA" w:rsidP="00690B4E">
            <w:pPr>
              <w:jc w:val="center"/>
              <w:rPr>
                <w:rFonts w:cs="Arial"/>
                <w:lang w:val="fr-FR" w:eastAsia="en-US"/>
              </w:rPr>
            </w:pPr>
            <w:r w:rsidRPr="003511DA">
              <w:rPr>
                <w:rFonts w:cs="Arial"/>
                <w:lang w:val="fr-FR" w:eastAsia="en-US"/>
              </w:rPr>
              <w:t>Couverture (%)</w:t>
            </w:r>
          </w:p>
        </w:tc>
        <w:tc>
          <w:tcPr>
            <w:tcW w:w="699" w:type="dxa"/>
            <w:tcBorders>
              <w:top w:val="single" w:sz="8" w:space="0" w:color="auto"/>
              <w:left w:val="nil"/>
              <w:bottom w:val="single" w:sz="8" w:space="0" w:color="auto"/>
              <w:right w:val="single" w:sz="8" w:space="0" w:color="auto"/>
            </w:tcBorders>
            <w:shd w:val="clear" w:color="auto" w:fill="auto"/>
            <w:noWrap/>
            <w:vAlign w:val="bottom"/>
          </w:tcPr>
          <w:p w:rsidR="0012431A" w:rsidRPr="007F1538" w:rsidRDefault="003511DA" w:rsidP="00690B4E">
            <w:pPr>
              <w:jc w:val="center"/>
              <w:rPr>
                <w:rFonts w:cs="Arial"/>
                <w:lang w:val="fr-FR" w:eastAsia="en-US"/>
              </w:rPr>
            </w:pPr>
            <w:r w:rsidRPr="003511DA">
              <w:rPr>
                <w:rFonts w:cs="Arial"/>
                <w:lang w:val="fr-FR" w:eastAsia="en-US"/>
              </w:rPr>
              <w:t>Couverture (abs.)</w:t>
            </w:r>
          </w:p>
        </w:tc>
        <w:tc>
          <w:tcPr>
            <w:tcW w:w="937" w:type="dxa"/>
            <w:tcBorders>
              <w:top w:val="single" w:sz="8" w:space="0" w:color="auto"/>
              <w:left w:val="nil"/>
              <w:bottom w:val="single" w:sz="8" w:space="0" w:color="auto"/>
              <w:right w:val="single" w:sz="8" w:space="0" w:color="auto"/>
            </w:tcBorders>
            <w:shd w:val="clear" w:color="auto" w:fill="auto"/>
            <w:noWrap/>
            <w:vAlign w:val="bottom"/>
          </w:tcPr>
          <w:p w:rsidR="0012431A" w:rsidRPr="007F1538" w:rsidRDefault="003511DA" w:rsidP="00690B4E">
            <w:pPr>
              <w:jc w:val="center"/>
              <w:rPr>
                <w:rFonts w:cs="Arial"/>
                <w:lang w:val="fr-FR" w:eastAsia="en-US"/>
              </w:rPr>
            </w:pPr>
            <w:r w:rsidRPr="003511DA">
              <w:rPr>
                <w:rFonts w:cs="Arial"/>
                <w:lang w:val="fr-FR" w:eastAsia="en-US"/>
              </w:rPr>
              <w:t>Population</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15.1 </w:t>
            </w:r>
            <w:r w:rsidR="003511DA" w:rsidRPr="003511DA">
              <w:rPr>
                <w:rFonts w:cs="Arial"/>
                <w:lang w:val="fr-FR" w:eastAsia="en-US"/>
              </w:rPr>
              <w:t>Viande et produits de viande (abattoirs inclus)</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lang w:val="fr-FR" w:eastAsia="en-US"/>
              </w:rPr>
            </w:pPr>
            <w:r w:rsidRPr="007F1538">
              <w:rPr>
                <w:rFonts w:cs="Arial"/>
                <w:lang w:val="fr-FR" w:eastAsia="en-US"/>
              </w:rPr>
              <w:t>16,0%</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lang w:val="fr-FR" w:eastAsia="en-US"/>
              </w:rPr>
            </w:pPr>
            <w:r w:rsidRPr="007F1538">
              <w:rPr>
                <w:rFonts w:cs="Arial"/>
                <w:lang w:val="fr-FR" w:eastAsia="en-US"/>
              </w:rPr>
              <w:t>4</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25</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15.2 </w:t>
            </w:r>
            <w:r w:rsidR="003511DA" w:rsidRPr="003511DA">
              <w:rPr>
                <w:rFonts w:cs="Arial"/>
                <w:lang w:val="fr-FR" w:eastAsia="en-US"/>
              </w:rPr>
              <w:t>Poisson et produits à base de poisson</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4A7A59" w:rsidP="006A5098">
            <w:pPr>
              <w:jc w:val="center"/>
              <w:rPr>
                <w:rFonts w:cs="Arial"/>
                <w:lang w:val="fr-FR" w:eastAsia="en-US"/>
              </w:rPr>
            </w:pPr>
            <w:r>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4A7A59" w:rsidP="0012431A">
            <w:pPr>
              <w:jc w:val="center"/>
              <w:rPr>
                <w:rFonts w:cs="Arial"/>
                <w:lang w:val="fr-FR" w:eastAsia="en-US"/>
              </w:rPr>
            </w:pPr>
            <w:r>
              <w:rPr>
                <w:rFonts w:cs="Arial"/>
                <w:lang w:val="fr-FR" w:eastAsia="en-US"/>
              </w:rPr>
              <w:t>-</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0</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15.3 </w:t>
            </w:r>
            <w:r w:rsidR="003511DA" w:rsidRPr="003511DA">
              <w:rPr>
                <w:rFonts w:cs="Arial"/>
                <w:lang w:val="fr-FR" w:eastAsia="en-US"/>
              </w:rPr>
              <w:t>Transformation et conservation des fruits et légumes</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12431A" w:rsidP="006A5098">
            <w:pPr>
              <w:jc w:val="center"/>
              <w:rPr>
                <w:rFonts w:cs="Arial"/>
                <w:lang w:val="fr-FR" w:eastAsia="en-US"/>
              </w:rPr>
            </w:pPr>
            <w:r w:rsidRPr="007F1538">
              <w:rPr>
                <w:rFonts w:cs="Arial"/>
                <w:lang w:val="fr-FR" w:eastAsia="en-US"/>
              </w:rPr>
              <w:t>0</w:t>
            </w:r>
            <w:r w:rsidR="006A5098" w:rsidRPr="007F1538">
              <w:rPr>
                <w:rFonts w:cs="Arial"/>
                <w:lang w:val="fr-FR" w:eastAsia="en-US"/>
              </w:rPr>
              <w:t>,</w:t>
            </w:r>
            <w:r w:rsidRPr="007F1538">
              <w:rPr>
                <w:rFonts w:cs="Arial"/>
                <w:lang w:val="fr-FR" w:eastAsia="en-US"/>
              </w:rPr>
              <w:t>0%</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0</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5</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15.4 </w:t>
            </w:r>
            <w:r w:rsidR="003511DA" w:rsidRPr="003511DA">
              <w:rPr>
                <w:rFonts w:cs="Arial"/>
                <w:lang w:val="fr-FR" w:eastAsia="en-US"/>
              </w:rPr>
              <w:t>Huiles et graisses animales et végétales</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4A7A59" w:rsidP="0012431A">
            <w:pPr>
              <w:jc w:val="center"/>
              <w:rPr>
                <w:rFonts w:cs="Arial"/>
                <w:lang w:val="fr-FR" w:eastAsia="en-US"/>
              </w:rPr>
            </w:pPr>
            <w:r>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4A7A59" w:rsidP="0012431A">
            <w:pPr>
              <w:jc w:val="center"/>
              <w:rPr>
                <w:rFonts w:cs="Arial"/>
                <w:lang w:val="fr-FR" w:eastAsia="en-US"/>
              </w:rPr>
            </w:pPr>
            <w:r>
              <w:rPr>
                <w:rFonts w:cs="Arial"/>
                <w:lang w:val="fr-FR" w:eastAsia="en-US"/>
              </w:rPr>
              <w:t>-</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0</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15.5 </w:t>
            </w:r>
            <w:r w:rsidR="003511DA" w:rsidRPr="003511DA">
              <w:rPr>
                <w:rFonts w:cs="Arial"/>
                <w:lang w:val="fr-FR" w:eastAsia="en-US"/>
              </w:rPr>
              <w:t>Produits laitiers</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lang w:val="fr-FR" w:eastAsia="en-US"/>
              </w:rPr>
            </w:pPr>
            <w:r w:rsidRPr="007F1538">
              <w:rPr>
                <w:rFonts w:cs="Arial"/>
                <w:lang w:val="fr-FR" w:eastAsia="en-US"/>
              </w:rPr>
              <w:t>27,3</w:t>
            </w:r>
            <w:r w:rsidR="0012431A" w:rsidRPr="007F1538">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lang w:val="fr-FR" w:eastAsia="en-US"/>
              </w:rPr>
            </w:pPr>
            <w:r w:rsidRPr="007F1538">
              <w:rPr>
                <w:rFonts w:cs="Arial"/>
                <w:lang w:val="fr-FR" w:eastAsia="en-US"/>
              </w:rPr>
              <w:t>3</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11</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15.6 </w:t>
            </w:r>
            <w:r w:rsidR="003511DA" w:rsidRPr="003511DA">
              <w:rPr>
                <w:rFonts w:cs="Arial"/>
                <w:lang w:val="fr-FR" w:eastAsia="en-US"/>
              </w:rPr>
              <w:t>Amidon et produits amylacés</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lang w:val="fr-FR" w:eastAsia="en-US"/>
              </w:rPr>
            </w:pPr>
            <w:r w:rsidRPr="007F1538">
              <w:rPr>
                <w:rFonts w:cs="Arial"/>
                <w:lang w:val="fr-FR" w:eastAsia="en-US"/>
              </w:rPr>
              <w:t>50,0</w:t>
            </w:r>
            <w:r w:rsidR="0012431A" w:rsidRPr="007F1538">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lang w:val="fr-FR" w:eastAsia="en-US"/>
              </w:rPr>
            </w:pPr>
            <w:r w:rsidRPr="007F1538">
              <w:rPr>
                <w:rFonts w:cs="Arial"/>
                <w:lang w:val="fr-FR" w:eastAsia="en-US"/>
              </w:rPr>
              <w:t>1</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2</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15.7 </w:t>
            </w:r>
            <w:r w:rsidR="003511DA" w:rsidRPr="003511DA">
              <w:rPr>
                <w:rFonts w:cs="Arial"/>
                <w:lang w:val="fr-FR" w:eastAsia="en-US"/>
              </w:rPr>
              <w:t>Aliments pour animaux</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4A7A59" w:rsidP="004A7A59">
            <w:pPr>
              <w:jc w:val="center"/>
              <w:rPr>
                <w:rFonts w:cs="Arial"/>
                <w:lang w:val="fr-FR" w:eastAsia="en-US"/>
              </w:rPr>
            </w:pPr>
            <w:r>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4A7A59" w:rsidP="0012431A">
            <w:pPr>
              <w:jc w:val="center"/>
              <w:rPr>
                <w:rFonts w:cs="Arial"/>
                <w:lang w:val="fr-FR" w:eastAsia="en-US"/>
              </w:rPr>
            </w:pPr>
            <w:r>
              <w:rPr>
                <w:rFonts w:cs="Arial"/>
                <w:lang w:val="fr-FR" w:eastAsia="en-US"/>
              </w:rPr>
              <w:t>-</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0</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924967" w:rsidP="00690B4E">
            <w:pPr>
              <w:rPr>
                <w:rFonts w:cs="Arial"/>
                <w:lang w:val="fr-FR" w:eastAsia="en-US"/>
              </w:rPr>
            </w:pPr>
            <w:r w:rsidRPr="007F1538">
              <w:rPr>
                <w:rFonts w:cs="Arial"/>
                <w:lang w:val="fr-FR" w:eastAsia="en-US"/>
              </w:rPr>
              <w:t xml:space="preserve">15.8 </w:t>
            </w:r>
            <w:r w:rsidR="003511DA" w:rsidRPr="003511DA">
              <w:rPr>
                <w:rFonts w:cs="Arial"/>
                <w:lang w:val="fr-FR" w:eastAsia="en-US"/>
              </w:rPr>
              <w:t>Autres produits alimentaires (entre autres : pain, pâtisserie, biscuits, céréales et pâtes alimentaires, cacao, sucre, …)</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lang w:val="fr-FR" w:eastAsia="en-US"/>
              </w:rPr>
            </w:pPr>
            <w:r w:rsidRPr="007F1538">
              <w:rPr>
                <w:rFonts w:cs="Arial"/>
                <w:lang w:val="fr-FR" w:eastAsia="en-US"/>
              </w:rPr>
              <w:t>5,3</w:t>
            </w:r>
            <w:r w:rsidR="0012431A" w:rsidRPr="007F1538">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lang w:val="fr-FR" w:eastAsia="en-US"/>
              </w:rPr>
            </w:pPr>
            <w:r w:rsidRPr="007F1538">
              <w:rPr>
                <w:rFonts w:cs="Arial"/>
                <w:lang w:val="fr-FR" w:eastAsia="en-US"/>
              </w:rPr>
              <w:t>18</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320</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12431A" w:rsidP="00690B4E">
            <w:pPr>
              <w:rPr>
                <w:rFonts w:cs="Arial"/>
                <w:lang w:val="fr-FR" w:eastAsia="en-US"/>
              </w:rPr>
            </w:pPr>
            <w:r w:rsidRPr="007F1538">
              <w:rPr>
                <w:rFonts w:cs="Arial"/>
                <w:lang w:val="fr-FR" w:eastAsia="en-US"/>
              </w:rPr>
              <w:t xml:space="preserve">15.9 </w:t>
            </w:r>
            <w:r w:rsidR="003511DA" w:rsidRPr="003511DA">
              <w:rPr>
                <w:rFonts w:cs="Arial"/>
                <w:lang w:val="fr-FR" w:eastAsia="en-US"/>
              </w:rPr>
              <w:t>Boissons (brasseries, eau, limonades, …)</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lang w:val="fr-FR" w:eastAsia="en-US"/>
              </w:rPr>
            </w:pPr>
            <w:r w:rsidRPr="007F1538">
              <w:rPr>
                <w:rFonts w:cs="Arial"/>
                <w:lang w:val="fr-FR" w:eastAsia="en-US"/>
              </w:rPr>
              <w:t>66,7</w:t>
            </w:r>
            <w:r w:rsidR="0012431A" w:rsidRPr="007F1538">
              <w:rPr>
                <w:rFonts w:cs="Arial"/>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lang w:val="fr-FR" w:eastAsia="en-US"/>
              </w:rPr>
            </w:pPr>
            <w:r w:rsidRPr="007F1538">
              <w:rPr>
                <w:rFonts w:cs="Arial"/>
                <w:lang w:val="fr-FR" w:eastAsia="en-US"/>
              </w:rPr>
              <w:t>2</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lang w:val="fr-FR" w:eastAsia="en-US"/>
              </w:rPr>
            </w:pPr>
            <w:r w:rsidRPr="007F1538">
              <w:rPr>
                <w:rFonts w:cs="Arial"/>
                <w:lang w:val="fr-FR" w:eastAsia="en-US"/>
              </w:rPr>
              <w:t>3</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3511DA" w:rsidP="00690B4E">
            <w:pPr>
              <w:rPr>
                <w:rFonts w:cs="Arial"/>
                <w:i/>
                <w:iCs/>
                <w:lang w:val="fr-FR" w:eastAsia="en-US"/>
              </w:rPr>
            </w:pPr>
            <w:r w:rsidRPr="003511DA">
              <w:rPr>
                <w:rFonts w:cs="Arial"/>
                <w:i/>
                <w:iCs/>
                <w:lang w:val="fr-FR" w:eastAsia="en-US"/>
              </w:rPr>
              <w:t>Total</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i/>
                <w:iCs/>
                <w:lang w:val="fr-FR" w:eastAsia="en-US"/>
              </w:rPr>
            </w:pPr>
            <w:r w:rsidRPr="007F1538">
              <w:rPr>
                <w:rFonts w:cs="Arial"/>
                <w:i/>
                <w:iCs/>
                <w:lang w:val="fr-FR" w:eastAsia="en-US"/>
              </w:rPr>
              <w:t>7,7</w:t>
            </w:r>
            <w:r w:rsidR="0012431A" w:rsidRPr="007F1538">
              <w:rPr>
                <w:rFonts w:cs="Arial"/>
                <w:i/>
                <w:iCs/>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i/>
                <w:iCs/>
                <w:lang w:val="fr-FR" w:eastAsia="en-US"/>
              </w:rPr>
            </w:pPr>
            <w:r w:rsidRPr="007F1538">
              <w:rPr>
                <w:rFonts w:cs="Arial"/>
                <w:i/>
                <w:iCs/>
                <w:lang w:val="fr-FR" w:eastAsia="en-US"/>
              </w:rPr>
              <w:t>28</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i/>
                <w:iCs/>
                <w:lang w:val="fr-FR" w:eastAsia="en-US"/>
              </w:rPr>
            </w:pPr>
            <w:r w:rsidRPr="007F1538">
              <w:rPr>
                <w:rFonts w:cs="Arial"/>
                <w:i/>
                <w:iCs/>
                <w:lang w:val="fr-FR" w:eastAsia="en-US"/>
              </w:rPr>
              <w:t>366</w:t>
            </w:r>
          </w:p>
        </w:tc>
      </w:tr>
      <w:tr w:rsidR="0012431A" w:rsidRPr="007F1538" w:rsidTr="003511DA">
        <w:tc>
          <w:tcPr>
            <w:tcW w:w="5311" w:type="dxa"/>
            <w:tcBorders>
              <w:top w:val="nil"/>
              <w:left w:val="single" w:sz="8" w:space="0" w:color="auto"/>
              <w:bottom w:val="single" w:sz="8" w:space="0" w:color="auto"/>
              <w:right w:val="single" w:sz="8" w:space="0" w:color="auto"/>
            </w:tcBorders>
            <w:shd w:val="clear" w:color="auto" w:fill="auto"/>
            <w:noWrap/>
          </w:tcPr>
          <w:p w:rsidR="0012431A" w:rsidRPr="007F1538" w:rsidRDefault="003511DA" w:rsidP="00690B4E">
            <w:pPr>
              <w:rPr>
                <w:rFonts w:cs="Arial"/>
                <w:i/>
                <w:iCs/>
                <w:lang w:val="fr-FR" w:eastAsia="en-US"/>
              </w:rPr>
            </w:pPr>
            <w:r w:rsidRPr="003511DA">
              <w:rPr>
                <w:rFonts w:cs="Arial"/>
                <w:i/>
                <w:iCs/>
                <w:lang w:val="fr-FR" w:eastAsia="en-US"/>
              </w:rPr>
              <w:t>Total sans les boulangers</w:t>
            </w:r>
          </w:p>
        </w:tc>
        <w:tc>
          <w:tcPr>
            <w:tcW w:w="1363" w:type="dxa"/>
            <w:tcBorders>
              <w:top w:val="nil"/>
              <w:left w:val="nil"/>
              <w:bottom w:val="single" w:sz="8" w:space="0" w:color="auto"/>
              <w:right w:val="single" w:sz="8" w:space="0" w:color="auto"/>
            </w:tcBorders>
            <w:shd w:val="clear" w:color="auto" w:fill="auto"/>
            <w:noWrap/>
            <w:vAlign w:val="bottom"/>
          </w:tcPr>
          <w:p w:rsidR="0012431A" w:rsidRPr="007F1538" w:rsidRDefault="006A5098" w:rsidP="006A5098">
            <w:pPr>
              <w:jc w:val="center"/>
              <w:rPr>
                <w:rFonts w:cs="Arial"/>
                <w:i/>
                <w:iCs/>
                <w:lang w:val="fr-FR" w:eastAsia="en-US"/>
              </w:rPr>
            </w:pPr>
            <w:r w:rsidRPr="007F1538">
              <w:rPr>
                <w:rFonts w:cs="Arial"/>
                <w:i/>
                <w:iCs/>
                <w:lang w:val="fr-FR" w:eastAsia="en-US"/>
              </w:rPr>
              <w:t>15,9</w:t>
            </w:r>
            <w:r w:rsidR="0012431A" w:rsidRPr="007F1538">
              <w:rPr>
                <w:rFonts w:cs="Arial"/>
                <w:i/>
                <w:iCs/>
                <w:lang w:val="fr-FR" w:eastAsia="en-US"/>
              </w:rPr>
              <w:t>%</w:t>
            </w:r>
          </w:p>
        </w:tc>
        <w:tc>
          <w:tcPr>
            <w:tcW w:w="699" w:type="dxa"/>
            <w:tcBorders>
              <w:top w:val="nil"/>
              <w:left w:val="nil"/>
              <w:bottom w:val="single" w:sz="8" w:space="0" w:color="auto"/>
              <w:right w:val="single" w:sz="8" w:space="0" w:color="auto"/>
            </w:tcBorders>
            <w:shd w:val="clear" w:color="auto" w:fill="auto"/>
            <w:noWrap/>
            <w:vAlign w:val="bottom"/>
          </w:tcPr>
          <w:p w:rsidR="0012431A" w:rsidRPr="007F1538" w:rsidRDefault="006A5098" w:rsidP="0012431A">
            <w:pPr>
              <w:jc w:val="center"/>
              <w:rPr>
                <w:rFonts w:cs="Arial"/>
                <w:i/>
                <w:iCs/>
                <w:lang w:val="fr-FR" w:eastAsia="en-US"/>
              </w:rPr>
            </w:pPr>
            <w:r w:rsidRPr="007F1538">
              <w:rPr>
                <w:rFonts w:cs="Arial"/>
                <w:i/>
                <w:iCs/>
                <w:lang w:val="fr-FR" w:eastAsia="en-US"/>
              </w:rPr>
              <w:t>20</w:t>
            </w:r>
          </w:p>
        </w:tc>
        <w:tc>
          <w:tcPr>
            <w:tcW w:w="937" w:type="dxa"/>
            <w:tcBorders>
              <w:top w:val="nil"/>
              <w:left w:val="nil"/>
              <w:bottom w:val="single" w:sz="8" w:space="0" w:color="auto"/>
              <w:right w:val="single" w:sz="8" w:space="0" w:color="auto"/>
            </w:tcBorders>
            <w:shd w:val="clear" w:color="auto" w:fill="auto"/>
            <w:noWrap/>
            <w:vAlign w:val="bottom"/>
          </w:tcPr>
          <w:p w:rsidR="0012431A" w:rsidRPr="007F1538" w:rsidRDefault="0012431A" w:rsidP="0012431A">
            <w:pPr>
              <w:jc w:val="center"/>
              <w:rPr>
                <w:rFonts w:cs="Arial"/>
                <w:i/>
                <w:iCs/>
                <w:lang w:val="fr-FR" w:eastAsia="en-US"/>
              </w:rPr>
            </w:pPr>
            <w:r w:rsidRPr="007F1538">
              <w:rPr>
                <w:rFonts w:cs="Arial"/>
                <w:i/>
                <w:iCs/>
                <w:lang w:val="fr-FR" w:eastAsia="en-US"/>
              </w:rPr>
              <w:t>126</w:t>
            </w:r>
          </w:p>
        </w:tc>
      </w:tr>
    </w:tbl>
    <w:p w:rsidR="00A4337C" w:rsidRPr="007F1538" w:rsidRDefault="00A4337C" w:rsidP="00174E07">
      <w:pPr>
        <w:rPr>
          <w:rFonts w:cs="Arial"/>
          <w:lang w:val="fr-FR"/>
        </w:rPr>
      </w:pPr>
    </w:p>
    <w:p w:rsidR="00A4337C" w:rsidRPr="007F1538" w:rsidRDefault="003511DA" w:rsidP="00A4337C">
      <w:pPr>
        <w:rPr>
          <w:rFonts w:cs="Arial"/>
          <w:lang w:val="fr-FR"/>
        </w:rPr>
      </w:pPr>
      <w:r w:rsidRPr="003511DA">
        <w:rPr>
          <w:rFonts w:cs="Arial"/>
          <w:lang w:val="fr-FR"/>
        </w:rPr>
        <w:t>Tableau h-Bru :</w:t>
      </w:r>
      <w:r w:rsidR="00A4337C" w:rsidRPr="007F1538">
        <w:rPr>
          <w:rFonts w:cs="Arial"/>
          <w:lang w:val="fr-FR"/>
        </w:rPr>
        <w:t xml:space="preserve"> </w:t>
      </w:r>
      <w:r w:rsidRPr="003511DA">
        <w:rPr>
          <w:rFonts w:cs="Arial"/>
          <w:lang w:val="fr-FR"/>
        </w:rPr>
        <w:t>répartition de la portée en % des travailleurs selon le statut à Bruxelles</w:t>
      </w:r>
    </w:p>
    <w:p w:rsidR="00A4337C" w:rsidRPr="007F1538" w:rsidRDefault="00A4337C" w:rsidP="00A4337C">
      <w:pPr>
        <w:rPr>
          <w:rFonts w:cs="Arial"/>
          <w:lang w:val="fr-FR"/>
        </w:rPr>
      </w:pPr>
    </w:p>
    <w:tbl>
      <w:tblPr>
        <w:tblW w:w="7768" w:type="dxa"/>
        <w:tblInd w:w="98" w:type="dxa"/>
        <w:tblLook w:val="0000"/>
      </w:tblPr>
      <w:tblGrid>
        <w:gridCol w:w="1528"/>
        <w:gridCol w:w="1509"/>
        <w:gridCol w:w="1509"/>
        <w:gridCol w:w="1677"/>
        <w:gridCol w:w="1545"/>
      </w:tblGrid>
      <w:tr w:rsidR="0034057B" w:rsidRPr="007F1538" w:rsidTr="003511DA">
        <w:tc>
          <w:tcPr>
            <w:tcW w:w="1528" w:type="dxa"/>
            <w:tcBorders>
              <w:top w:val="single" w:sz="8" w:space="0" w:color="auto"/>
              <w:left w:val="single" w:sz="8" w:space="0" w:color="auto"/>
              <w:bottom w:val="double" w:sz="6" w:space="0" w:color="auto"/>
              <w:right w:val="double" w:sz="6" w:space="0" w:color="auto"/>
            </w:tcBorders>
            <w:shd w:val="clear" w:color="auto" w:fill="auto"/>
            <w:vAlign w:val="bottom"/>
          </w:tcPr>
          <w:p w:rsidR="0034057B" w:rsidRPr="007F1538" w:rsidRDefault="003511DA" w:rsidP="00690B4E">
            <w:pPr>
              <w:rPr>
                <w:rFonts w:cs="Arial"/>
                <w:lang w:val="fr-FR" w:eastAsia="en-US"/>
              </w:rPr>
            </w:pPr>
            <w:r w:rsidRPr="003511DA">
              <w:rPr>
                <w:rFonts w:cs="Arial"/>
                <w:lang w:val="fr-FR" w:eastAsia="en-US"/>
              </w:rPr>
              <w:t>Statut</w:t>
            </w:r>
          </w:p>
        </w:tc>
        <w:tc>
          <w:tcPr>
            <w:tcW w:w="1509"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583EE9" w:rsidP="00690B4E">
            <w:pPr>
              <w:jc w:val="center"/>
              <w:rPr>
                <w:rFonts w:cs="Arial"/>
                <w:lang w:val="fr-FR" w:eastAsia="en-US"/>
              </w:rPr>
            </w:pPr>
            <w:r w:rsidRPr="00583EE9">
              <w:rPr>
                <w:rFonts w:cs="Arial"/>
                <w:lang w:val="fr-FR" w:eastAsia="en-US"/>
              </w:rPr>
              <w:t>Couverture de l’IFP e</w:t>
            </w:r>
            <w:r w:rsidR="003511DA" w:rsidRPr="00583EE9">
              <w:rPr>
                <w:rFonts w:cs="Arial"/>
                <w:lang w:val="fr-FR" w:eastAsia="en-US"/>
              </w:rPr>
              <w:t>n 2008</w:t>
            </w:r>
          </w:p>
        </w:tc>
        <w:tc>
          <w:tcPr>
            <w:tcW w:w="1509"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3511DA" w:rsidP="00690B4E">
            <w:pPr>
              <w:jc w:val="center"/>
              <w:rPr>
                <w:rFonts w:cs="Arial"/>
                <w:lang w:val="fr-FR" w:eastAsia="en-US"/>
              </w:rPr>
            </w:pPr>
            <w:r w:rsidRPr="00583EE9">
              <w:rPr>
                <w:rFonts w:cs="Arial"/>
                <w:lang w:val="fr-FR" w:eastAsia="en-US"/>
              </w:rPr>
              <w:t xml:space="preserve">Couverture de l’IFP </w:t>
            </w:r>
            <w:r w:rsidR="00583EE9" w:rsidRPr="00583EE9">
              <w:rPr>
                <w:rFonts w:cs="Arial"/>
                <w:lang w:val="fr-FR" w:eastAsia="en-US"/>
              </w:rPr>
              <w:t>e</w:t>
            </w:r>
            <w:r w:rsidRPr="00583EE9">
              <w:rPr>
                <w:rFonts w:cs="Arial"/>
                <w:lang w:val="fr-FR" w:eastAsia="en-US"/>
              </w:rPr>
              <w:t>n 2009</w:t>
            </w:r>
          </w:p>
        </w:tc>
        <w:tc>
          <w:tcPr>
            <w:tcW w:w="1677"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3511DA" w:rsidP="00690B4E">
            <w:pPr>
              <w:jc w:val="center"/>
              <w:rPr>
                <w:rFonts w:cs="Arial"/>
                <w:lang w:val="fr-FR" w:eastAsia="en-US"/>
              </w:rPr>
            </w:pPr>
            <w:r w:rsidRPr="00583EE9">
              <w:rPr>
                <w:rFonts w:cs="Arial"/>
                <w:lang w:val="fr-FR" w:eastAsia="en-US"/>
              </w:rPr>
              <w:t>Travailleurs</w:t>
            </w:r>
          </w:p>
        </w:tc>
        <w:tc>
          <w:tcPr>
            <w:tcW w:w="1545"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3511DA" w:rsidP="00690B4E">
            <w:pPr>
              <w:jc w:val="center"/>
              <w:rPr>
                <w:rFonts w:cs="Arial"/>
                <w:lang w:val="fr-FR" w:eastAsia="en-US"/>
              </w:rPr>
            </w:pPr>
            <w:r w:rsidRPr="003511DA">
              <w:rPr>
                <w:rFonts w:cs="Arial"/>
                <w:lang w:val="fr-FR" w:eastAsia="en-US"/>
              </w:rPr>
              <w:t>Population</w:t>
            </w:r>
          </w:p>
        </w:tc>
      </w:tr>
      <w:tr w:rsidR="006A5098" w:rsidRPr="007F1538" w:rsidTr="003511DA">
        <w:tc>
          <w:tcPr>
            <w:tcW w:w="1528" w:type="dxa"/>
            <w:tcBorders>
              <w:top w:val="nil"/>
              <w:left w:val="single" w:sz="8" w:space="0" w:color="auto"/>
              <w:bottom w:val="single" w:sz="8" w:space="0" w:color="auto"/>
              <w:right w:val="double" w:sz="6" w:space="0" w:color="auto"/>
            </w:tcBorders>
            <w:shd w:val="clear" w:color="auto" w:fill="auto"/>
            <w:vAlign w:val="bottom"/>
          </w:tcPr>
          <w:p w:rsidR="006A5098" w:rsidRPr="007F1538" w:rsidRDefault="003511DA" w:rsidP="00690B4E">
            <w:pPr>
              <w:rPr>
                <w:rFonts w:cs="Arial"/>
                <w:lang w:val="fr-FR" w:eastAsia="en-US"/>
              </w:rPr>
            </w:pPr>
            <w:r w:rsidRPr="003511DA">
              <w:rPr>
                <w:rFonts w:cs="Arial"/>
                <w:lang w:val="fr-FR" w:eastAsia="en-US"/>
              </w:rPr>
              <w:t>Ouvrier</w:t>
            </w:r>
          </w:p>
        </w:tc>
        <w:tc>
          <w:tcPr>
            <w:tcW w:w="1509"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lang w:val="fr-FR" w:eastAsia="en-US"/>
              </w:rPr>
            </w:pPr>
            <w:r w:rsidRPr="007F1538">
              <w:rPr>
                <w:rFonts w:cs="Arial"/>
                <w:lang w:val="fr-FR" w:eastAsia="en-US"/>
              </w:rPr>
              <w:t>10,9%</w:t>
            </w:r>
          </w:p>
        </w:tc>
        <w:tc>
          <w:tcPr>
            <w:tcW w:w="1509"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lang w:val="fr-FR" w:eastAsia="en-US"/>
              </w:rPr>
            </w:pPr>
            <w:r w:rsidRPr="007F1538">
              <w:rPr>
                <w:rFonts w:cs="Arial"/>
                <w:lang w:val="fr-FR" w:eastAsia="en-US"/>
              </w:rPr>
              <w:t>8,4%</w:t>
            </w:r>
          </w:p>
        </w:tc>
        <w:tc>
          <w:tcPr>
            <w:tcW w:w="1677"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lang w:val="fr-FR" w:eastAsia="en-US"/>
              </w:rPr>
            </w:pPr>
            <w:r w:rsidRPr="007F1538">
              <w:rPr>
                <w:rFonts w:cs="Arial"/>
                <w:lang w:val="fr-FR" w:eastAsia="en-US"/>
              </w:rPr>
              <w:t>214</w:t>
            </w:r>
          </w:p>
        </w:tc>
        <w:tc>
          <w:tcPr>
            <w:tcW w:w="1545"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lang w:val="fr-FR" w:eastAsia="en-US"/>
              </w:rPr>
            </w:pPr>
            <w:r w:rsidRPr="007F1538">
              <w:rPr>
                <w:rFonts w:cs="Arial"/>
                <w:lang w:val="fr-FR" w:eastAsia="en-US"/>
              </w:rPr>
              <w:t>2.533</w:t>
            </w:r>
          </w:p>
        </w:tc>
      </w:tr>
      <w:tr w:rsidR="006A5098" w:rsidRPr="007F1538" w:rsidTr="003511DA">
        <w:tc>
          <w:tcPr>
            <w:tcW w:w="1528" w:type="dxa"/>
            <w:tcBorders>
              <w:top w:val="nil"/>
              <w:left w:val="single" w:sz="8" w:space="0" w:color="auto"/>
              <w:bottom w:val="single" w:sz="8" w:space="0" w:color="auto"/>
              <w:right w:val="double" w:sz="6" w:space="0" w:color="auto"/>
            </w:tcBorders>
            <w:shd w:val="clear" w:color="auto" w:fill="auto"/>
            <w:vAlign w:val="bottom"/>
          </w:tcPr>
          <w:p w:rsidR="006A5098" w:rsidRPr="007F1538" w:rsidRDefault="003511DA" w:rsidP="00690B4E">
            <w:pPr>
              <w:rPr>
                <w:rFonts w:cs="Arial"/>
                <w:lang w:val="fr-FR" w:eastAsia="en-US"/>
              </w:rPr>
            </w:pPr>
            <w:r w:rsidRPr="003511DA">
              <w:rPr>
                <w:rFonts w:cs="Arial"/>
                <w:lang w:val="fr-FR" w:eastAsia="en-US"/>
              </w:rPr>
              <w:t>Employé</w:t>
            </w:r>
          </w:p>
        </w:tc>
        <w:tc>
          <w:tcPr>
            <w:tcW w:w="1509"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lang w:val="fr-FR" w:eastAsia="en-US"/>
              </w:rPr>
            </w:pPr>
            <w:r w:rsidRPr="007F1538">
              <w:rPr>
                <w:rFonts w:cs="Arial"/>
                <w:lang w:val="fr-FR" w:eastAsia="en-US"/>
              </w:rPr>
              <w:t>25,2%</w:t>
            </w:r>
          </w:p>
        </w:tc>
        <w:tc>
          <w:tcPr>
            <w:tcW w:w="1509"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lang w:val="fr-FR" w:eastAsia="en-US"/>
              </w:rPr>
            </w:pPr>
            <w:r w:rsidRPr="007F1538">
              <w:rPr>
                <w:rFonts w:cs="Arial"/>
                <w:lang w:val="fr-FR" w:eastAsia="en-US"/>
              </w:rPr>
              <w:t>22,2%</w:t>
            </w:r>
          </w:p>
        </w:tc>
        <w:tc>
          <w:tcPr>
            <w:tcW w:w="1677"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lang w:val="fr-FR" w:eastAsia="en-US"/>
              </w:rPr>
            </w:pPr>
            <w:r w:rsidRPr="007F1538">
              <w:rPr>
                <w:rFonts w:cs="Arial"/>
                <w:lang w:val="fr-FR" w:eastAsia="en-US"/>
              </w:rPr>
              <w:t>365</w:t>
            </w:r>
          </w:p>
        </w:tc>
        <w:tc>
          <w:tcPr>
            <w:tcW w:w="1545"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lang w:val="fr-FR" w:eastAsia="en-US"/>
              </w:rPr>
            </w:pPr>
            <w:r w:rsidRPr="007F1538">
              <w:rPr>
                <w:rFonts w:cs="Arial"/>
                <w:lang w:val="fr-FR" w:eastAsia="en-US"/>
              </w:rPr>
              <w:t>1.643</w:t>
            </w:r>
          </w:p>
        </w:tc>
      </w:tr>
      <w:tr w:rsidR="006A5098" w:rsidRPr="007F1538" w:rsidTr="003511DA">
        <w:tc>
          <w:tcPr>
            <w:tcW w:w="1528" w:type="dxa"/>
            <w:tcBorders>
              <w:top w:val="nil"/>
              <w:left w:val="single" w:sz="8" w:space="0" w:color="auto"/>
              <w:bottom w:val="single" w:sz="8" w:space="0" w:color="auto"/>
              <w:right w:val="double" w:sz="6" w:space="0" w:color="auto"/>
            </w:tcBorders>
            <w:shd w:val="clear" w:color="auto" w:fill="auto"/>
            <w:vAlign w:val="bottom"/>
          </w:tcPr>
          <w:p w:rsidR="006A5098" w:rsidRPr="007F1538" w:rsidRDefault="003511DA" w:rsidP="00690B4E">
            <w:pPr>
              <w:rPr>
                <w:rFonts w:cs="Arial"/>
                <w:i/>
                <w:iCs/>
                <w:lang w:val="fr-FR" w:eastAsia="en-US"/>
              </w:rPr>
            </w:pPr>
            <w:r w:rsidRPr="003511DA">
              <w:rPr>
                <w:rFonts w:cs="Arial"/>
                <w:i/>
                <w:iCs/>
                <w:lang w:val="fr-FR" w:eastAsia="en-US"/>
              </w:rPr>
              <w:t>Total</w:t>
            </w:r>
          </w:p>
        </w:tc>
        <w:tc>
          <w:tcPr>
            <w:tcW w:w="1509" w:type="dxa"/>
            <w:tcBorders>
              <w:top w:val="nil"/>
              <w:left w:val="nil"/>
              <w:bottom w:val="single" w:sz="8" w:space="0" w:color="auto"/>
              <w:right w:val="single" w:sz="8" w:space="0" w:color="auto"/>
            </w:tcBorders>
            <w:shd w:val="clear" w:color="auto" w:fill="auto"/>
            <w:vAlign w:val="bottom"/>
          </w:tcPr>
          <w:p w:rsidR="006A5098" w:rsidRPr="007F1538" w:rsidRDefault="006A5098" w:rsidP="00704FFA">
            <w:pPr>
              <w:jc w:val="center"/>
              <w:rPr>
                <w:rFonts w:cs="Arial"/>
                <w:i/>
                <w:iCs/>
                <w:lang w:val="fr-FR" w:eastAsia="en-US"/>
              </w:rPr>
            </w:pPr>
            <w:r w:rsidRPr="007F1538">
              <w:rPr>
                <w:rFonts w:cs="Arial"/>
                <w:i/>
                <w:iCs/>
                <w:lang w:val="fr-FR" w:eastAsia="en-US"/>
              </w:rPr>
              <w:t>16,5%</w:t>
            </w:r>
          </w:p>
        </w:tc>
        <w:tc>
          <w:tcPr>
            <w:tcW w:w="1509"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i/>
                <w:iCs/>
                <w:lang w:val="fr-FR" w:eastAsia="en-US"/>
              </w:rPr>
            </w:pPr>
            <w:r w:rsidRPr="007F1538">
              <w:rPr>
                <w:rFonts w:cs="Arial"/>
                <w:i/>
                <w:iCs/>
                <w:lang w:val="fr-FR" w:eastAsia="en-US"/>
              </w:rPr>
              <w:t>13,9%</w:t>
            </w:r>
          </w:p>
        </w:tc>
        <w:tc>
          <w:tcPr>
            <w:tcW w:w="1677"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i/>
                <w:iCs/>
                <w:lang w:val="fr-FR" w:eastAsia="en-US"/>
              </w:rPr>
            </w:pPr>
            <w:r w:rsidRPr="007F1538">
              <w:rPr>
                <w:rFonts w:cs="Arial"/>
                <w:i/>
                <w:iCs/>
                <w:lang w:val="fr-FR" w:eastAsia="en-US"/>
              </w:rPr>
              <w:t>579</w:t>
            </w:r>
          </w:p>
        </w:tc>
        <w:tc>
          <w:tcPr>
            <w:tcW w:w="1545" w:type="dxa"/>
            <w:tcBorders>
              <w:top w:val="nil"/>
              <w:left w:val="nil"/>
              <w:bottom w:val="single" w:sz="8" w:space="0" w:color="auto"/>
              <w:right w:val="single" w:sz="8" w:space="0" w:color="auto"/>
            </w:tcBorders>
            <w:shd w:val="clear" w:color="auto" w:fill="auto"/>
            <w:vAlign w:val="bottom"/>
          </w:tcPr>
          <w:p w:rsidR="006A5098" w:rsidRPr="007F1538" w:rsidRDefault="006A5098" w:rsidP="0034057B">
            <w:pPr>
              <w:jc w:val="center"/>
              <w:rPr>
                <w:rFonts w:cs="Arial"/>
                <w:i/>
                <w:iCs/>
                <w:lang w:val="fr-FR" w:eastAsia="en-US"/>
              </w:rPr>
            </w:pPr>
            <w:r w:rsidRPr="007F1538">
              <w:rPr>
                <w:rFonts w:cs="Arial"/>
                <w:i/>
                <w:iCs/>
                <w:lang w:val="fr-FR" w:eastAsia="en-US"/>
              </w:rPr>
              <w:t>4.176</w:t>
            </w:r>
          </w:p>
        </w:tc>
      </w:tr>
    </w:tbl>
    <w:p w:rsidR="00A4337C" w:rsidRPr="007F1538" w:rsidRDefault="00A4337C" w:rsidP="00A4337C">
      <w:pPr>
        <w:rPr>
          <w:rFonts w:cs="Arial"/>
          <w:lang w:val="fr-FR"/>
        </w:rPr>
      </w:pPr>
    </w:p>
    <w:p w:rsidR="00A4337C" w:rsidRPr="007F1538" w:rsidRDefault="003511DA" w:rsidP="00A4337C">
      <w:pPr>
        <w:rPr>
          <w:rFonts w:cs="Arial"/>
          <w:lang w:val="fr-FR"/>
        </w:rPr>
      </w:pPr>
      <w:r w:rsidRPr="003511DA">
        <w:rPr>
          <w:rFonts w:cs="Arial"/>
          <w:lang w:val="fr-FR"/>
        </w:rPr>
        <w:t>Tableau i-Bru :</w:t>
      </w:r>
      <w:r w:rsidR="00A4337C" w:rsidRPr="007F1538">
        <w:rPr>
          <w:rFonts w:cs="Arial"/>
          <w:lang w:val="fr-FR"/>
        </w:rPr>
        <w:t xml:space="preserve"> </w:t>
      </w:r>
      <w:r w:rsidRPr="003511DA">
        <w:rPr>
          <w:rFonts w:cs="Arial"/>
          <w:lang w:val="fr-FR"/>
        </w:rPr>
        <w:t>répartition en % des travailleurs touchés en fonction du genre à Bruxelles</w:t>
      </w:r>
    </w:p>
    <w:p w:rsidR="00A4337C" w:rsidRPr="007F1538" w:rsidRDefault="00A4337C" w:rsidP="00A4337C">
      <w:pPr>
        <w:rPr>
          <w:rFonts w:cs="Arial"/>
          <w:lang w:val="fr-FR"/>
        </w:rPr>
      </w:pPr>
    </w:p>
    <w:tbl>
      <w:tblPr>
        <w:tblW w:w="7768" w:type="dxa"/>
        <w:tblInd w:w="98" w:type="dxa"/>
        <w:tblLook w:val="0000"/>
      </w:tblPr>
      <w:tblGrid>
        <w:gridCol w:w="1447"/>
        <w:gridCol w:w="1532"/>
        <w:gridCol w:w="1533"/>
        <w:gridCol w:w="1705"/>
        <w:gridCol w:w="1551"/>
      </w:tblGrid>
      <w:tr w:rsidR="0034057B" w:rsidRPr="007F1538" w:rsidTr="003511DA">
        <w:tc>
          <w:tcPr>
            <w:tcW w:w="1447" w:type="dxa"/>
            <w:tcBorders>
              <w:top w:val="single" w:sz="8" w:space="0" w:color="auto"/>
              <w:left w:val="single" w:sz="8" w:space="0" w:color="auto"/>
              <w:bottom w:val="double" w:sz="6" w:space="0" w:color="auto"/>
              <w:right w:val="double" w:sz="6" w:space="0" w:color="auto"/>
            </w:tcBorders>
            <w:shd w:val="clear" w:color="auto" w:fill="auto"/>
            <w:vAlign w:val="bottom"/>
          </w:tcPr>
          <w:p w:rsidR="0034057B" w:rsidRPr="007F1538" w:rsidRDefault="003511DA" w:rsidP="00690B4E">
            <w:pPr>
              <w:rPr>
                <w:rFonts w:cs="Arial"/>
                <w:lang w:val="fr-FR" w:eastAsia="en-US"/>
              </w:rPr>
            </w:pPr>
            <w:r w:rsidRPr="003511DA">
              <w:rPr>
                <w:rFonts w:cs="Arial"/>
                <w:lang w:val="fr-FR" w:eastAsia="en-US"/>
              </w:rPr>
              <w:t>Genre</w:t>
            </w:r>
          </w:p>
        </w:tc>
        <w:tc>
          <w:tcPr>
            <w:tcW w:w="1532"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3511DA" w:rsidP="00690B4E">
            <w:pPr>
              <w:jc w:val="center"/>
              <w:rPr>
                <w:rFonts w:cs="Arial"/>
                <w:lang w:val="fr-FR" w:eastAsia="en-US"/>
              </w:rPr>
            </w:pPr>
            <w:r w:rsidRPr="001A0286">
              <w:rPr>
                <w:rFonts w:cs="Arial"/>
                <w:lang w:val="fr-FR" w:eastAsia="en-US"/>
              </w:rPr>
              <w:t xml:space="preserve">Couverture de l’IFP </w:t>
            </w:r>
            <w:r w:rsidR="00583EE9" w:rsidRPr="001A0286">
              <w:rPr>
                <w:rFonts w:cs="Arial"/>
                <w:lang w:val="fr-FR" w:eastAsia="en-US"/>
              </w:rPr>
              <w:t>e</w:t>
            </w:r>
            <w:r w:rsidRPr="001A0286">
              <w:rPr>
                <w:rFonts w:cs="Arial"/>
                <w:lang w:val="fr-FR" w:eastAsia="en-US"/>
              </w:rPr>
              <w:t>n 2008</w:t>
            </w:r>
          </w:p>
        </w:tc>
        <w:tc>
          <w:tcPr>
            <w:tcW w:w="1533"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1A0286" w:rsidP="00690B4E">
            <w:pPr>
              <w:jc w:val="center"/>
              <w:rPr>
                <w:rFonts w:cs="Arial"/>
                <w:lang w:val="fr-FR" w:eastAsia="en-US"/>
              </w:rPr>
            </w:pPr>
            <w:r w:rsidRPr="001A0286">
              <w:rPr>
                <w:rFonts w:cs="Arial"/>
                <w:lang w:val="fr-FR" w:eastAsia="en-US"/>
              </w:rPr>
              <w:t>Couverture de l’IFP e</w:t>
            </w:r>
            <w:r w:rsidR="003511DA" w:rsidRPr="001A0286">
              <w:rPr>
                <w:rFonts w:cs="Arial"/>
                <w:lang w:val="fr-FR" w:eastAsia="en-US"/>
              </w:rPr>
              <w:t>n 2009</w:t>
            </w:r>
          </w:p>
        </w:tc>
        <w:tc>
          <w:tcPr>
            <w:tcW w:w="1705"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3511DA" w:rsidP="00690B4E">
            <w:pPr>
              <w:jc w:val="center"/>
              <w:rPr>
                <w:rFonts w:cs="Arial"/>
                <w:lang w:val="fr-FR" w:eastAsia="en-US"/>
              </w:rPr>
            </w:pPr>
            <w:r w:rsidRPr="003511DA">
              <w:rPr>
                <w:rFonts w:cs="Arial"/>
                <w:lang w:val="fr-FR" w:eastAsia="en-US"/>
              </w:rPr>
              <w:t>Travailleurs</w:t>
            </w:r>
          </w:p>
        </w:tc>
        <w:tc>
          <w:tcPr>
            <w:tcW w:w="1551" w:type="dxa"/>
            <w:tcBorders>
              <w:top w:val="single" w:sz="8" w:space="0" w:color="auto"/>
              <w:left w:val="nil"/>
              <w:bottom w:val="double" w:sz="6" w:space="0" w:color="auto"/>
              <w:right w:val="single" w:sz="8" w:space="0" w:color="auto"/>
            </w:tcBorders>
            <w:shd w:val="clear" w:color="auto" w:fill="auto"/>
            <w:vAlign w:val="bottom"/>
          </w:tcPr>
          <w:p w:rsidR="0034057B" w:rsidRPr="007F1538" w:rsidRDefault="003511DA" w:rsidP="00690B4E">
            <w:pPr>
              <w:jc w:val="center"/>
              <w:rPr>
                <w:rFonts w:cs="Arial"/>
                <w:lang w:val="fr-FR" w:eastAsia="en-US"/>
              </w:rPr>
            </w:pPr>
            <w:r w:rsidRPr="003511DA">
              <w:rPr>
                <w:rFonts w:cs="Arial"/>
                <w:lang w:val="fr-FR" w:eastAsia="en-US"/>
              </w:rPr>
              <w:t>Population</w:t>
            </w:r>
          </w:p>
        </w:tc>
      </w:tr>
      <w:tr w:rsidR="00C23BF0" w:rsidRPr="007F1538" w:rsidTr="003511DA">
        <w:tc>
          <w:tcPr>
            <w:tcW w:w="1447" w:type="dxa"/>
            <w:tcBorders>
              <w:top w:val="nil"/>
              <w:left w:val="single" w:sz="8" w:space="0" w:color="auto"/>
              <w:bottom w:val="single" w:sz="8" w:space="0" w:color="auto"/>
              <w:right w:val="double" w:sz="6" w:space="0" w:color="auto"/>
            </w:tcBorders>
            <w:shd w:val="clear" w:color="auto" w:fill="auto"/>
            <w:vAlign w:val="bottom"/>
          </w:tcPr>
          <w:p w:rsidR="00C23BF0" w:rsidRPr="007F1538" w:rsidRDefault="003511DA" w:rsidP="00690B4E">
            <w:pPr>
              <w:rPr>
                <w:rFonts w:cs="Arial"/>
                <w:lang w:val="fr-FR" w:eastAsia="en-US"/>
              </w:rPr>
            </w:pPr>
            <w:r w:rsidRPr="003511DA">
              <w:rPr>
                <w:rFonts w:cs="Arial"/>
                <w:lang w:val="fr-FR" w:eastAsia="en-US"/>
              </w:rPr>
              <w:t>Femme</w:t>
            </w:r>
          </w:p>
        </w:tc>
        <w:tc>
          <w:tcPr>
            <w:tcW w:w="1532" w:type="dxa"/>
            <w:tcBorders>
              <w:top w:val="nil"/>
              <w:left w:val="nil"/>
              <w:bottom w:val="single" w:sz="8" w:space="0" w:color="auto"/>
              <w:right w:val="single" w:sz="8" w:space="0" w:color="auto"/>
            </w:tcBorders>
            <w:shd w:val="clear" w:color="auto" w:fill="auto"/>
            <w:vAlign w:val="bottom"/>
          </w:tcPr>
          <w:p w:rsidR="00C23BF0" w:rsidRPr="007F1538" w:rsidRDefault="00C23BF0" w:rsidP="00704FFA">
            <w:pPr>
              <w:jc w:val="center"/>
              <w:rPr>
                <w:rFonts w:cs="Arial"/>
                <w:lang w:val="fr-FR" w:eastAsia="en-US"/>
              </w:rPr>
            </w:pPr>
            <w:r w:rsidRPr="007F1538">
              <w:rPr>
                <w:rFonts w:cs="Arial"/>
                <w:lang w:val="fr-FR" w:eastAsia="en-US"/>
              </w:rPr>
              <w:t>20,9%</w:t>
            </w:r>
          </w:p>
        </w:tc>
        <w:tc>
          <w:tcPr>
            <w:tcW w:w="1533"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lang w:val="fr-FR" w:eastAsia="en-US"/>
              </w:rPr>
            </w:pPr>
            <w:r w:rsidRPr="007F1538">
              <w:rPr>
                <w:rFonts w:cs="Arial"/>
                <w:lang w:val="fr-FR" w:eastAsia="en-US"/>
              </w:rPr>
              <w:t>13,3%</w:t>
            </w:r>
          </w:p>
        </w:tc>
        <w:tc>
          <w:tcPr>
            <w:tcW w:w="1705"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lang w:val="fr-FR" w:eastAsia="en-US"/>
              </w:rPr>
            </w:pPr>
            <w:r w:rsidRPr="007F1538">
              <w:rPr>
                <w:rFonts w:cs="Arial"/>
                <w:lang w:val="fr-FR" w:eastAsia="en-US"/>
              </w:rPr>
              <w:t>217</w:t>
            </w:r>
          </w:p>
        </w:tc>
        <w:tc>
          <w:tcPr>
            <w:tcW w:w="1551"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lang w:val="fr-FR" w:eastAsia="en-US"/>
              </w:rPr>
            </w:pPr>
            <w:r w:rsidRPr="007F1538">
              <w:rPr>
                <w:rFonts w:cs="Arial"/>
                <w:lang w:val="fr-FR" w:eastAsia="en-US"/>
              </w:rPr>
              <w:t>1.630</w:t>
            </w:r>
          </w:p>
        </w:tc>
      </w:tr>
      <w:tr w:rsidR="00C23BF0" w:rsidRPr="007F1538" w:rsidTr="003511DA">
        <w:tc>
          <w:tcPr>
            <w:tcW w:w="1447" w:type="dxa"/>
            <w:tcBorders>
              <w:top w:val="nil"/>
              <w:left w:val="single" w:sz="8" w:space="0" w:color="auto"/>
              <w:bottom w:val="single" w:sz="8" w:space="0" w:color="auto"/>
              <w:right w:val="double" w:sz="6" w:space="0" w:color="auto"/>
            </w:tcBorders>
            <w:shd w:val="clear" w:color="auto" w:fill="auto"/>
            <w:vAlign w:val="bottom"/>
          </w:tcPr>
          <w:p w:rsidR="00C23BF0" w:rsidRPr="007F1538" w:rsidRDefault="003511DA" w:rsidP="00690B4E">
            <w:pPr>
              <w:rPr>
                <w:rFonts w:cs="Arial"/>
                <w:lang w:val="fr-FR" w:eastAsia="en-US"/>
              </w:rPr>
            </w:pPr>
            <w:r w:rsidRPr="003511DA">
              <w:rPr>
                <w:rFonts w:cs="Arial"/>
                <w:lang w:val="fr-FR" w:eastAsia="en-US"/>
              </w:rPr>
              <w:t>Homme</w:t>
            </w:r>
          </w:p>
        </w:tc>
        <w:tc>
          <w:tcPr>
            <w:tcW w:w="1532" w:type="dxa"/>
            <w:tcBorders>
              <w:top w:val="nil"/>
              <w:left w:val="nil"/>
              <w:bottom w:val="single" w:sz="8" w:space="0" w:color="auto"/>
              <w:right w:val="single" w:sz="8" w:space="0" w:color="auto"/>
            </w:tcBorders>
            <w:shd w:val="clear" w:color="auto" w:fill="auto"/>
            <w:vAlign w:val="bottom"/>
          </w:tcPr>
          <w:p w:rsidR="00C23BF0" w:rsidRPr="007F1538" w:rsidRDefault="00C23BF0" w:rsidP="00704FFA">
            <w:pPr>
              <w:jc w:val="center"/>
              <w:rPr>
                <w:rFonts w:cs="Arial"/>
                <w:lang w:val="fr-FR" w:eastAsia="en-US"/>
              </w:rPr>
            </w:pPr>
            <w:r w:rsidRPr="007F1538">
              <w:rPr>
                <w:rFonts w:cs="Arial"/>
                <w:lang w:val="fr-FR" w:eastAsia="en-US"/>
              </w:rPr>
              <w:t>13,8%</w:t>
            </w:r>
          </w:p>
        </w:tc>
        <w:tc>
          <w:tcPr>
            <w:tcW w:w="1533"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lang w:val="fr-FR" w:eastAsia="en-US"/>
              </w:rPr>
            </w:pPr>
            <w:r w:rsidRPr="007F1538">
              <w:rPr>
                <w:rFonts w:cs="Arial"/>
                <w:lang w:val="fr-FR" w:eastAsia="en-US"/>
              </w:rPr>
              <w:t>14,2%</w:t>
            </w:r>
          </w:p>
        </w:tc>
        <w:tc>
          <w:tcPr>
            <w:tcW w:w="1705"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lang w:val="fr-FR" w:eastAsia="en-US"/>
              </w:rPr>
            </w:pPr>
            <w:r w:rsidRPr="007F1538">
              <w:rPr>
                <w:rFonts w:cs="Arial"/>
                <w:lang w:val="fr-FR" w:eastAsia="en-US"/>
              </w:rPr>
              <w:t>362</w:t>
            </w:r>
          </w:p>
        </w:tc>
        <w:tc>
          <w:tcPr>
            <w:tcW w:w="1551"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lang w:val="fr-FR" w:eastAsia="en-US"/>
              </w:rPr>
            </w:pPr>
            <w:r w:rsidRPr="007F1538">
              <w:rPr>
                <w:rFonts w:cs="Arial"/>
                <w:lang w:val="fr-FR" w:eastAsia="en-US"/>
              </w:rPr>
              <w:t>2.546</w:t>
            </w:r>
          </w:p>
        </w:tc>
      </w:tr>
      <w:tr w:rsidR="00C23BF0" w:rsidRPr="007F1538" w:rsidTr="003511DA">
        <w:tc>
          <w:tcPr>
            <w:tcW w:w="1447" w:type="dxa"/>
            <w:tcBorders>
              <w:top w:val="nil"/>
              <w:left w:val="single" w:sz="8" w:space="0" w:color="auto"/>
              <w:bottom w:val="single" w:sz="8" w:space="0" w:color="auto"/>
              <w:right w:val="double" w:sz="6" w:space="0" w:color="auto"/>
            </w:tcBorders>
            <w:shd w:val="clear" w:color="auto" w:fill="auto"/>
            <w:vAlign w:val="bottom"/>
          </w:tcPr>
          <w:p w:rsidR="00C23BF0" w:rsidRPr="007F1538" w:rsidRDefault="003511DA" w:rsidP="00690B4E">
            <w:pPr>
              <w:rPr>
                <w:rFonts w:cs="Arial"/>
                <w:i/>
                <w:iCs/>
                <w:lang w:val="fr-FR" w:eastAsia="en-US"/>
              </w:rPr>
            </w:pPr>
            <w:r w:rsidRPr="003511DA">
              <w:rPr>
                <w:rFonts w:cs="Arial"/>
                <w:i/>
                <w:iCs/>
                <w:lang w:val="fr-FR" w:eastAsia="en-US"/>
              </w:rPr>
              <w:t>Total</w:t>
            </w:r>
          </w:p>
        </w:tc>
        <w:tc>
          <w:tcPr>
            <w:tcW w:w="1532" w:type="dxa"/>
            <w:tcBorders>
              <w:top w:val="nil"/>
              <w:left w:val="nil"/>
              <w:bottom w:val="single" w:sz="8" w:space="0" w:color="auto"/>
              <w:right w:val="single" w:sz="8" w:space="0" w:color="auto"/>
            </w:tcBorders>
            <w:shd w:val="clear" w:color="auto" w:fill="auto"/>
            <w:vAlign w:val="bottom"/>
          </w:tcPr>
          <w:p w:rsidR="00C23BF0" w:rsidRPr="007F1538" w:rsidRDefault="00C23BF0" w:rsidP="00704FFA">
            <w:pPr>
              <w:jc w:val="center"/>
              <w:rPr>
                <w:rFonts w:cs="Arial"/>
                <w:i/>
                <w:iCs/>
                <w:lang w:val="fr-FR" w:eastAsia="en-US"/>
              </w:rPr>
            </w:pPr>
            <w:r w:rsidRPr="007F1538">
              <w:rPr>
                <w:rFonts w:cs="Arial"/>
                <w:i/>
                <w:iCs/>
                <w:lang w:val="fr-FR" w:eastAsia="en-US"/>
              </w:rPr>
              <w:t>16,5%</w:t>
            </w:r>
          </w:p>
        </w:tc>
        <w:tc>
          <w:tcPr>
            <w:tcW w:w="1533"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i/>
                <w:iCs/>
                <w:lang w:val="fr-FR" w:eastAsia="en-US"/>
              </w:rPr>
            </w:pPr>
            <w:r w:rsidRPr="007F1538">
              <w:rPr>
                <w:rFonts w:cs="Arial"/>
                <w:i/>
                <w:iCs/>
                <w:lang w:val="fr-FR" w:eastAsia="en-US"/>
              </w:rPr>
              <w:t>13,9%</w:t>
            </w:r>
          </w:p>
        </w:tc>
        <w:tc>
          <w:tcPr>
            <w:tcW w:w="1705"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i/>
                <w:iCs/>
                <w:lang w:val="fr-FR" w:eastAsia="en-US"/>
              </w:rPr>
            </w:pPr>
            <w:r w:rsidRPr="007F1538">
              <w:rPr>
                <w:rFonts w:cs="Arial"/>
                <w:i/>
                <w:iCs/>
                <w:lang w:val="fr-FR" w:eastAsia="en-US"/>
              </w:rPr>
              <w:t>579</w:t>
            </w:r>
          </w:p>
        </w:tc>
        <w:tc>
          <w:tcPr>
            <w:tcW w:w="1551" w:type="dxa"/>
            <w:tcBorders>
              <w:top w:val="nil"/>
              <w:left w:val="nil"/>
              <w:bottom w:val="single" w:sz="8" w:space="0" w:color="auto"/>
              <w:right w:val="single" w:sz="8" w:space="0" w:color="auto"/>
            </w:tcBorders>
            <w:shd w:val="clear" w:color="auto" w:fill="auto"/>
            <w:vAlign w:val="bottom"/>
          </w:tcPr>
          <w:p w:rsidR="00C23BF0" w:rsidRPr="007F1538" w:rsidRDefault="00C23BF0" w:rsidP="0034057B">
            <w:pPr>
              <w:jc w:val="center"/>
              <w:rPr>
                <w:rFonts w:cs="Arial"/>
                <w:i/>
                <w:iCs/>
                <w:lang w:val="fr-FR" w:eastAsia="en-US"/>
              </w:rPr>
            </w:pPr>
            <w:r w:rsidRPr="007F1538">
              <w:rPr>
                <w:rFonts w:cs="Arial"/>
                <w:i/>
                <w:iCs/>
                <w:lang w:val="fr-FR" w:eastAsia="en-US"/>
              </w:rPr>
              <w:t>4.176</w:t>
            </w:r>
          </w:p>
        </w:tc>
      </w:tr>
    </w:tbl>
    <w:p w:rsidR="00A4337C" w:rsidRPr="007F1538" w:rsidRDefault="00A4337C" w:rsidP="00174E07">
      <w:pPr>
        <w:rPr>
          <w:rFonts w:cs="Arial"/>
          <w:lang w:val="fr-FR"/>
        </w:rPr>
      </w:pPr>
    </w:p>
    <w:p w:rsidR="00A4337C" w:rsidRPr="007F1538" w:rsidRDefault="00A4337C" w:rsidP="00174E07">
      <w:pPr>
        <w:rPr>
          <w:rFonts w:cs="Arial"/>
          <w:lang w:val="fr-FR"/>
        </w:rPr>
      </w:pPr>
    </w:p>
    <w:p w:rsidR="009B274A" w:rsidRPr="007F1538" w:rsidRDefault="003511DA" w:rsidP="009B274A">
      <w:pPr>
        <w:rPr>
          <w:rFonts w:cs="Arial"/>
          <w:lang w:val="fr-FR"/>
        </w:rPr>
      </w:pPr>
      <w:r w:rsidRPr="003511DA">
        <w:rPr>
          <w:rFonts w:cs="Arial"/>
          <w:lang w:val="fr-FR"/>
        </w:rPr>
        <w:t>Répartitions des participants en 2009 à Bruxelles selon la rubrique de formation et la taille de leur employeur</w:t>
      </w:r>
    </w:p>
    <w:p w:rsidR="001B6E70" w:rsidRPr="007F1538" w:rsidRDefault="00462A51" w:rsidP="00174E07">
      <w:pPr>
        <w:rPr>
          <w:lang w:val="fr-FR"/>
        </w:rPr>
      </w:pPr>
      <w:r w:rsidRPr="007F1538">
        <w:rPr>
          <w:noProof/>
          <w:lang w:eastAsia="nl-BE"/>
        </w:rPr>
        <w:lastRenderedPageBreak/>
        <w:drawing>
          <wp:inline distT="0" distB="0" distL="0" distR="0">
            <wp:extent cx="5738629" cy="2979509"/>
            <wp:effectExtent l="11764" t="5893" r="5882" b="368"/>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6E70" w:rsidRDefault="001B6E70" w:rsidP="00174E07">
      <w:pPr>
        <w:rPr>
          <w:rFonts w:cs="Arial"/>
          <w:lang w:val="fr-FR"/>
        </w:rPr>
      </w:pPr>
    </w:p>
    <w:p w:rsidR="00BC73C2" w:rsidRDefault="00BC73C2" w:rsidP="00BC73C2">
      <w:pPr>
        <w:rPr>
          <w:lang w:val="fr-FR"/>
        </w:rPr>
      </w:pPr>
    </w:p>
    <w:p w:rsidR="00BC73C2" w:rsidRDefault="00BC73C2" w:rsidP="00BC73C2">
      <w:pPr>
        <w:rPr>
          <w:lang w:val="fr-FR"/>
        </w:rPr>
      </w:pPr>
    </w:p>
    <w:p w:rsidR="00BC73C2" w:rsidRDefault="00BC73C2" w:rsidP="00BC73C2">
      <w:pPr>
        <w:rPr>
          <w:lang w:val="fr-FR"/>
        </w:rPr>
      </w:pPr>
      <w:r w:rsidRPr="00BC73C2">
        <w:rPr>
          <w:highlight w:val="cyan"/>
          <w:lang w:val="fr-FR"/>
        </w:rPr>
        <w:t>Idem als pagina 19</w:t>
      </w:r>
    </w:p>
    <w:p w:rsidR="00BC73C2" w:rsidRDefault="00BC73C2" w:rsidP="00BC73C2">
      <w:pPr>
        <w:rPr>
          <w:lang w:val="fr-FR"/>
        </w:rPr>
      </w:pPr>
    </w:p>
    <w:p w:rsidR="00BC73C2" w:rsidRDefault="00BC73C2" w:rsidP="00174E07">
      <w:pPr>
        <w:rPr>
          <w:rFonts w:cs="Arial"/>
          <w:lang w:val="fr-FR"/>
        </w:rPr>
      </w:pPr>
    </w:p>
    <w:p w:rsidR="00BC73C2" w:rsidRPr="007F1538" w:rsidRDefault="00BC73C2" w:rsidP="00174E07">
      <w:pPr>
        <w:rPr>
          <w:rFonts w:cs="Arial"/>
          <w:lang w:val="fr-FR"/>
        </w:rPr>
      </w:pPr>
    </w:p>
    <w:p w:rsidR="001B6E70" w:rsidRPr="007F1538" w:rsidRDefault="001B6E70" w:rsidP="00174E07">
      <w:pPr>
        <w:rPr>
          <w:rFonts w:cs="Arial"/>
          <w:lang w:val="fr-FR"/>
        </w:rPr>
        <w:sectPr w:rsidR="001B6E70" w:rsidRPr="007F1538" w:rsidSect="007C101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20" w:footer="720" w:gutter="0"/>
          <w:cols w:space="720"/>
          <w:docGrid w:linePitch="360"/>
        </w:sectPr>
      </w:pPr>
    </w:p>
    <w:p w:rsidR="00A73AD2" w:rsidRPr="007F1538" w:rsidRDefault="003511DA" w:rsidP="003511DA">
      <w:pPr>
        <w:pStyle w:val="Heading2"/>
        <w:rPr>
          <w:lang w:val="fr-FR"/>
        </w:rPr>
      </w:pPr>
      <w:bookmarkStart w:id="132" w:name="_Toc267060143"/>
      <w:bookmarkStart w:id="133" w:name="_Toc269220697"/>
      <w:r w:rsidRPr="003511DA">
        <w:rPr>
          <w:lang w:val="fr-FR"/>
        </w:rPr>
        <w:lastRenderedPageBreak/>
        <w:t>Annexe 3. Tableau chiffré fonctionnement IFP 2009 (selon la recommandation du C.N.T. n° 16)</w:t>
      </w:r>
      <w:bookmarkEnd w:id="132"/>
      <w:bookmarkEnd w:id="133"/>
    </w:p>
    <w:tbl>
      <w:tblPr>
        <w:tblW w:w="13609" w:type="dxa"/>
        <w:tblInd w:w="55" w:type="dxa"/>
        <w:tblCellMar>
          <w:left w:w="70" w:type="dxa"/>
          <w:right w:w="70" w:type="dxa"/>
        </w:tblCellMar>
        <w:tblLook w:val="0000"/>
      </w:tblPr>
      <w:tblGrid>
        <w:gridCol w:w="3069"/>
        <w:gridCol w:w="2213"/>
        <w:gridCol w:w="1690"/>
        <w:gridCol w:w="2002"/>
        <w:gridCol w:w="1952"/>
        <w:gridCol w:w="1486"/>
        <w:gridCol w:w="1331"/>
      </w:tblGrid>
      <w:tr w:rsidR="00A73AD2" w:rsidRPr="007B0288" w:rsidTr="003511DA">
        <w:tc>
          <w:tcPr>
            <w:tcW w:w="5282" w:type="dxa"/>
            <w:gridSpan w:val="2"/>
            <w:tcBorders>
              <w:top w:val="single" w:sz="4" w:space="0" w:color="auto"/>
              <w:left w:val="single" w:sz="4" w:space="0" w:color="auto"/>
              <w:bottom w:val="single" w:sz="4" w:space="0" w:color="auto"/>
              <w:right w:val="single" w:sz="4" w:space="0" w:color="000000"/>
            </w:tcBorders>
            <w:vAlign w:val="center"/>
          </w:tcPr>
          <w:p w:rsidR="00A73AD2" w:rsidRPr="007F1538" w:rsidRDefault="003511DA" w:rsidP="00690B4E">
            <w:pPr>
              <w:rPr>
                <w:rFonts w:cs="Arial"/>
                <w:lang w:val="fr-FR" w:eastAsia="nl-BE"/>
              </w:rPr>
            </w:pPr>
            <w:r w:rsidRPr="003511DA">
              <w:rPr>
                <w:rFonts w:cs="Arial"/>
                <w:lang w:val="fr-FR" w:eastAsia="nl-BE"/>
              </w:rPr>
              <w:t>Activités de formation</w:t>
            </w:r>
          </w:p>
        </w:tc>
        <w:tc>
          <w:tcPr>
            <w:tcW w:w="1690" w:type="dxa"/>
            <w:tcBorders>
              <w:top w:val="single" w:sz="4" w:space="0" w:color="auto"/>
              <w:left w:val="nil"/>
              <w:bottom w:val="single" w:sz="4" w:space="0" w:color="auto"/>
              <w:right w:val="nil"/>
            </w:tcBorders>
            <w:vAlign w:val="center"/>
          </w:tcPr>
          <w:p w:rsidR="00A73AD2" w:rsidRPr="007F1538" w:rsidRDefault="009F164E">
            <w:pPr>
              <w:jc w:val="center"/>
              <w:rPr>
                <w:rFonts w:cs="Arial"/>
                <w:lang w:val="fr-FR" w:eastAsia="nl-BE"/>
              </w:rPr>
            </w:pPr>
            <w:r>
              <w:rPr>
                <w:rFonts w:cs="Arial"/>
                <w:lang w:val="fr-FR" w:eastAsia="nl-BE"/>
              </w:rPr>
              <w:t>Travailleurs</w:t>
            </w:r>
            <w:r w:rsidR="00A73AD2" w:rsidRPr="007F1538">
              <w:rPr>
                <w:rFonts w:cs="Arial"/>
                <w:vertAlign w:val="superscript"/>
                <w:lang w:val="fr-FR" w:eastAsia="nl-BE"/>
              </w:rPr>
              <w:t>2</w:t>
            </w:r>
          </w:p>
        </w:tc>
        <w:tc>
          <w:tcPr>
            <w:tcW w:w="2002" w:type="dxa"/>
            <w:tcBorders>
              <w:top w:val="single" w:sz="4" w:space="0" w:color="auto"/>
              <w:left w:val="nil"/>
              <w:bottom w:val="single" w:sz="4" w:space="0" w:color="auto"/>
              <w:right w:val="nil"/>
            </w:tcBorders>
            <w:vAlign w:val="center"/>
          </w:tcPr>
          <w:p w:rsidR="00A73AD2" w:rsidRPr="007F1538" w:rsidRDefault="009F164E">
            <w:pPr>
              <w:jc w:val="center"/>
              <w:rPr>
                <w:rFonts w:cs="Arial"/>
                <w:lang w:val="fr-FR" w:eastAsia="nl-BE"/>
              </w:rPr>
            </w:pPr>
            <w:r>
              <w:rPr>
                <w:rFonts w:cs="Arial"/>
                <w:lang w:val="fr-FR" w:eastAsia="nl-BE"/>
              </w:rPr>
              <w:t>Demandeurs d’emploi</w:t>
            </w:r>
            <w:r w:rsidR="00A73AD2" w:rsidRPr="007F1538">
              <w:rPr>
                <w:rFonts w:cs="Arial"/>
                <w:vertAlign w:val="superscript"/>
                <w:lang w:val="fr-FR" w:eastAsia="nl-BE"/>
              </w:rPr>
              <w:t>1</w:t>
            </w:r>
          </w:p>
        </w:tc>
        <w:tc>
          <w:tcPr>
            <w:tcW w:w="1952" w:type="dxa"/>
            <w:tcBorders>
              <w:top w:val="single" w:sz="4" w:space="0" w:color="auto"/>
              <w:left w:val="nil"/>
              <w:bottom w:val="single" w:sz="4" w:space="0" w:color="auto"/>
              <w:right w:val="nil"/>
            </w:tcBorders>
            <w:vAlign w:val="center"/>
          </w:tcPr>
          <w:p w:rsidR="00A73AD2" w:rsidRPr="007F1538" w:rsidRDefault="003511DA" w:rsidP="00690B4E">
            <w:pPr>
              <w:jc w:val="center"/>
              <w:rPr>
                <w:rFonts w:cs="Arial"/>
                <w:lang w:val="fr-FR" w:eastAsia="nl-BE"/>
              </w:rPr>
            </w:pPr>
            <w:r w:rsidRPr="003511DA">
              <w:rPr>
                <w:rFonts w:cs="Arial"/>
                <w:lang w:val="fr-FR" w:eastAsia="nl-BE"/>
              </w:rPr>
              <w:t>Formation en alternance</w:t>
            </w:r>
          </w:p>
        </w:tc>
        <w:tc>
          <w:tcPr>
            <w:tcW w:w="1352" w:type="dxa"/>
            <w:tcBorders>
              <w:top w:val="single" w:sz="4" w:space="0" w:color="auto"/>
              <w:left w:val="nil"/>
              <w:bottom w:val="single" w:sz="4" w:space="0" w:color="auto"/>
              <w:right w:val="nil"/>
            </w:tcBorders>
            <w:vAlign w:val="center"/>
          </w:tcPr>
          <w:p w:rsidR="00A73AD2" w:rsidRPr="007F1538" w:rsidRDefault="009F164E" w:rsidP="009F164E">
            <w:pPr>
              <w:jc w:val="center"/>
              <w:rPr>
                <w:rFonts w:cs="Arial"/>
                <w:lang w:val="fr-FR" w:eastAsia="nl-BE"/>
              </w:rPr>
            </w:pPr>
            <w:r>
              <w:rPr>
                <w:rFonts w:cs="Arial"/>
                <w:lang w:val="fr-FR" w:eastAsia="nl-BE"/>
              </w:rPr>
              <w:t xml:space="preserve">Elèves </w:t>
            </w:r>
            <w:r w:rsidR="003511DA" w:rsidRPr="003511DA">
              <w:rPr>
                <w:rFonts w:cs="Arial"/>
                <w:lang w:val="fr-FR" w:eastAsia="nl-BE"/>
              </w:rPr>
              <w:t>de l’enseignement secondaire de plein exercice</w:t>
            </w:r>
          </w:p>
        </w:tc>
        <w:tc>
          <w:tcPr>
            <w:tcW w:w="1331" w:type="dxa"/>
            <w:tcBorders>
              <w:top w:val="single" w:sz="4" w:space="0" w:color="auto"/>
              <w:left w:val="nil"/>
              <w:bottom w:val="single" w:sz="4" w:space="0" w:color="auto"/>
              <w:right w:val="single" w:sz="4" w:space="0" w:color="auto"/>
            </w:tcBorders>
            <w:vAlign w:val="center"/>
          </w:tcPr>
          <w:p w:rsidR="00A73AD2" w:rsidRPr="007F1538" w:rsidRDefault="00D30409" w:rsidP="00690B4E">
            <w:pPr>
              <w:jc w:val="center"/>
              <w:rPr>
                <w:rFonts w:cs="Arial"/>
                <w:lang w:val="fr-FR" w:eastAsia="nl-BE"/>
              </w:rPr>
            </w:pPr>
            <w:r w:rsidRPr="00D30409">
              <w:rPr>
                <w:rFonts w:cs="Arial"/>
                <w:lang w:val="fr-FR" w:eastAsia="nl-BE"/>
              </w:rPr>
              <w:t xml:space="preserve">Nombre </w:t>
            </w:r>
            <w:r w:rsidR="003511DA" w:rsidRPr="00D30409">
              <w:rPr>
                <w:rFonts w:cs="Arial"/>
                <w:lang w:val="fr-FR" w:eastAsia="nl-BE"/>
              </w:rPr>
              <w:t>total de travailleurs de la commission paritaire</w:t>
            </w:r>
          </w:p>
        </w:tc>
      </w:tr>
      <w:tr w:rsidR="00A73AD2" w:rsidRPr="007F1538" w:rsidTr="003511DA">
        <w:trPr>
          <w:cantSplit/>
        </w:trPr>
        <w:tc>
          <w:tcPr>
            <w:tcW w:w="3069" w:type="dxa"/>
            <w:vMerge w:val="restart"/>
            <w:tcBorders>
              <w:top w:val="nil"/>
              <w:left w:val="single" w:sz="4" w:space="0" w:color="auto"/>
              <w:bottom w:val="nil"/>
              <w:right w:val="nil"/>
            </w:tcBorders>
            <w:noWrap/>
            <w:vAlign w:val="center"/>
          </w:tcPr>
          <w:p w:rsidR="00A73AD2" w:rsidRPr="007F1538" w:rsidRDefault="003511DA" w:rsidP="00690B4E">
            <w:pPr>
              <w:rPr>
                <w:rFonts w:cs="Arial"/>
                <w:lang w:val="fr-FR" w:eastAsia="nl-BE"/>
              </w:rPr>
            </w:pPr>
            <w:r w:rsidRPr="00D30409">
              <w:rPr>
                <w:rFonts w:cs="Arial"/>
                <w:lang w:val="fr-FR" w:eastAsia="nl-BE"/>
              </w:rPr>
              <w:t>Nombre de personnes formées</w:t>
            </w:r>
          </w:p>
        </w:tc>
        <w:tc>
          <w:tcPr>
            <w:tcW w:w="2213" w:type="dxa"/>
            <w:tcBorders>
              <w:top w:val="nil"/>
              <w:left w:val="nil"/>
              <w:bottom w:val="nil"/>
              <w:right w:val="single" w:sz="4" w:space="0" w:color="auto"/>
            </w:tcBorders>
            <w:noWrap/>
            <w:vAlign w:val="center"/>
          </w:tcPr>
          <w:p w:rsidR="00A73AD2" w:rsidRPr="007F1538" w:rsidRDefault="00D30409">
            <w:pPr>
              <w:rPr>
                <w:rFonts w:cs="Arial"/>
                <w:lang w:val="fr-FR" w:eastAsia="nl-BE"/>
              </w:rPr>
            </w:pPr>
            <w:r>
              <w:rPr>
                <w:rFonts w:cs="Arial"/>
                <w:lang w:val="fr-FR" w:eastAsia="nl-BE"/>
              </w:rPr>
              <w:t>professions critiques</w:t>
            </w:r>
            <w:r w:rsidR="00A73AD2" w:rsidRPr="007F1538">
              <w:rPr>
                <w:rFonts w:cs="Arial"/>
                <w:vertAlign w:val="superscript"/>
                <w:lang w:val="fr-FR" w:eastAsia="nl-BE"/>
              </w:rPr>
              <w:t>1</w:t>
            </w:r>
          </w:p>
        </w:tc>
        <w:tc>
          <w:tcPr>
            <w:tcW w:w="1690" w:type="dxa"/>
            <w:vMerge w:val="restart"/>
            <w:tcBorders>
              <w:top w:val="nil"/>
              <w:left w:val="single" w:sz="4" w:space="0" w:color="auto"/>
              <w:bottom w:val="nil"/>
              <w:right w:val="nil"/>
            </w:tcBorders>
            <w:noWrap/>
            <w:vAlign w:val="center"/>
          </w:tcPr>
          <w:p w:rsidR="00A73AD2" w:rsidRPr="007F1538" w:rsidRDefault="006D1D8E">
            <w:pPr>
              <w:jc w:val="center"/>
              <w:rPr>
                <w:rFonts w:cs="Arial"/>
                <w:lang w:val="fr-FR" w:eastAsia="nl-BE"/>
              </w:rPr>
            </w:pPr>
            <w:r w:rsidRPr="007F1538">
              <w:rPr>
                <w:rFonts w:cs="Arial"/>
                <w:lang w:val="fr-FR" w:eastAsia="nl-BE"/>
              </w:rPr>
              <w:t>15.394</w:t>
            </w:r>
          </w:p>
        </w:tc>
        <w:tc>
          <w:tcPr>
            <w:tcW w:w="2002" w:type="dxa"/>
            <w:tcBorders>
              <w:top w:val="nil"/>
              <w:left w:val="nil"/>
              <w:bottom w:val="nil"/>
              <w:right w:val="nil"/>
            </w:tcBorders>
            <w:noWrap/>
            <w:vAlign w:val="center"/>
          </w:tcPr>
          <w:p w:rsidR="00A73AD2" w:rsidRPr="007F1538" w:rsidRDefault="0047563F">
            <w:pPr>
              <w:jc w:val="center"/>
              <w:rPr>
                <w:rFonts w:cs="Arial"/>
                <w:lang w:val="fr-FR" w:eastAsia="nl-BE"/>
              </w:rPr>
            </w:pPr>
            <w:r>
              <w:rPr>
                <w:rFonts w:cs="Arial"/>
                <w:lang w:val="fr-FR" w:eastAsia="nl-BE"/>
              </w:rPr>
              <w:t>661</w:t>
            </w:r>
            <w:r w:rsidR="000465CB" w:rsidRPr="007F1538">
              <w:rPr>
                <w:rFonts w:cs="Arial"/>
                <w:lang w:val="fr-FR" w:eastAsia="nl-BE"/>
              </w:rPr>
              <w:t xml:space="preserve"> </w:t>
            </w:r>
            <w:r w:rsidR="003A74BE" w:rsidRPr="007F1538">
              <w:rPr>
                <w:rFonts w:cs="Arial"/>
                <w:vertAlign w:val="superscript"/>
                <w:lang w:val="fr-FR" w:eastAsia="nl-BE"/>
              </w:rPr>
              <w:t>3</w:t>
            </w:r>
          </w:p>
        </w:tc>
        <w:tc>
          <w:tcPr>
            <w:tcW w:w="1952" w:type="dxa"/>
            <w:vMerge w:val="restart"/>
            <w:tcBorders>
              <w:top w:val="nil"/>
              <w:left w:val="nil"/>
              <w:bottom w:val="nil"/>
              <w:right w:val="nil"/>
            </w:tcBorders>
            <w:noWrap/>
            <w:vAlign w:val="center"/>
          </w:tcPr>
          <w:p w:rsidR="00A73AD2" w:rsidRPr="007F1538" w:rsidRDefault="003E30AD">
            <w:pPr>
              <w:jc w:val="center"/>
              <w:rPr>
                <w:rFonts w:cs="Arial"/>
                <w:lang w:val="fr-FR" w:eastAsia="nl-BE"/>
              </w:rPr>
            </w:pPr>
            <w:r w:rsidRPr="007F1538">
              <w:rPr>
                <w:rFonts w:cs="Arial"/>
                <w:lang w:val="fr-FR" w:eastAsia="nl-BE"/>
              </w:rPr>
              <w:t>1</w:t>
            </w:r>
            <w:r w:rsidR="00281015" w:rsidRPr="007F1538">
              <w:rPr>
                <w:rFonts w:cs="Arial"/>
                <w:lang w:val="fr-FR" w:eastAsia="nl-BE"/>
              </w:rPr>
              <w:t>1</w:t>
            </w:r>
            <w:r w:rsidR="00CB7E63" w:rsidRPr="007F1538">
              <w:rPr>
                <w:rFonts w:cs="Arial"/>
                <w:lang w:val="fr-FR" w:eastAsia="nl-BE"/>
              </w:rPr>
              <w:t>0</w:t>
            </w: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r w:rsidRPr="007F1538">
              <w:rPr>
                <w:rFonts w:cs="Arial"/>
                <w:lang w:val="fr-FR" w:eastAsia="nl-BE"/>
              </w:rPr>
              <w:t> </w:t>
            </w:r>
          </w:p>
        </w:tc>
        <w:tc>
          <w:tcPr>
            <w:tcW w:w="1331" w:type="dxa"/>
            <w:vMerge w:val="restart"/>
            <w:tcBorders>
              <w:top w:val="nil"/>
              <w:left w:val="nil"/>
              <w:bottom w:val="nil"/>
              <w:right w:val="single" w:sz="4" w:space="0" w:color="auto"/>
            </w:tcBorders>
            <w:noWrap/>
            <w:vAlign w:val="center"/>
          </w:tcPr>
          <w:p w:rsidR="00A73AD2" w:rsidRPr="007F1538" w:rsidRDefault="00D76E56">
            <w:pPr>
              <w:jc w:val="center"/>
              <w:rPr>
                <w:rFonts w:cs="Arial"/>
                <w:lang w:val="fr-FR" w:eastAsia="nl-BE"/>
              </w:rPr>
            </w:pPr>
            <w:r w:rsidRPr="007F1538">
              <w:rPr>
                <w:rFonts w:cs="Arial"/>
                <w:lang w:val="fr-FR" w:eastAsia="nl-BE"/>
              </w:rPr>
              <w:t>8</w:t>
            </w:r>
            <w:r w:rsidR="00477C27" w:rsidRPr="007F1538">
              <w:rPr>
                <w:rFonts w:cs="Arial"/>
                <w:lang w:val="fr-FR" w:eastAsia="nl-BE"/>
              </w:rPr>
              <w:t>8.714</w:t>
            </w:r>
          </w:p>
        </w:tc>
      </w:tr>
      <w:tr w:rsidR="00A73AD2" w:rsidRPr="007F1538" w:rsidTr="003511DA">
        <w:trPr>
          <w:cantSplit/>
        </w:trPr>
        <w:tc>
          <w:tcPr>
            <w:tcW w:w="3069" w:type="dxa"/>
            <w:vMerge/>
            <w:tcBorders>
              <w:top w:val="nil"/>
              <w:left w:val="single" w:sz="4" w:space="0" w:color="auto"/>
              <w:bottom w:val="nil"/>
              <w:right w:val="nil"/>
            </w:tcBorders>
            <w:vAlign w:val="center"/>
          </w:tcPr>
          <w:p w:rsidR="00A73AD2" w:rsidRPr="007F1538" w:rsidRDefault="00A73AD2">
            <w:pPr>
              <w:rPr>
                <w:rFonts w:cs="Arial"/>
                <w:lang w:val="fr-FR" w:eastAsia="nl-BE"/>
              </w:rPr>
            </w:pPr>
          </w:p>
        </w:tc>
        <w:tc>
          <w:tcPr>
            <w:tcW w:w="2213" w:type="dxa"/>
            <w:tcBorders>
              <w:top w:val="nil"/>
              <w:left w:val="nil"/>
              <w:bottom w:val="nil"/>
              <w:right w:val="single" w:sz="4" w:space="0" w:color="auto"/>
            </w:tcBorders>
            <w:noWrap/>
            <w:vAlign w:val="center"/>
          </w:tcPr>
          <w:p w:rsidR="00A73AD2" w:rsidRPr="007F1538" w:rsidRDefault="003511DA" w:rsidP="00690B4E">
            <w:pPr>
              <w:rPr>
                <w:rFonts w:cs="Arial"/>
                <w:lang w:val="fr-FR" w:eastAsia="nl-BE"/>
              </w:rPr>
            </w:pPr>
            <w:r w:rsidRPr="00D30409">
              <w:rPr>
                <w:rFonts w:cs="Arial"/>
                <w:lang w:val="fr-FR" w:eastAsia="nl-BE"/>
              </w:rPr>
              <w:t>autres</w:t>
            </w:r>
          </w:p>
        </w:tc>
        <w:tc>
          <w:tcPr>
            <w:tcW w:w="1690" w:type="dxa"/>
            <w:vMerge/>
            <w:tcBorders>
              <w:top w:val="nil"/>
              <w:left w:val="single" w:sz="4" w:space="0" w:color="auto"/>
              <w:bottom w:val="nil"/>
              <w:right w:val="nil"/>
            </w:tcBorders>
            <w:vAlign w:val="center"/>
          </w:tcPr>
          <w:p w:rsidR="00A73AD2" w:rsidRPr="007F1538" w:rsidRDefault="00A73AD2">
            <w:pPr>
              <w:rPr>
                <w:rFonts w:cs="Arial"/>
                <w:lang w:val="fr-FR" w:eastAsia="nl-BE"/>
              </w:rPr>
            </w:pPr>
          </w:p>
        </w:tc>
        <w:tc>
          <w:tcPr>
            <w:tcW w:w="200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952" w:type="dxa"/>
            <w:vMerge/>
            <w:tcBorders>
              <w:top w:val="nil"/>
              <w:left w:val="nil"/>
              <w:bottom w:val="nil"/>
              <w:right w:val="nil"/>
            </w:tcBorders>
            <w:vAlign w:val="center"/>
          </w:tcPr>
          <w:p w:rsidR="00A73AD2" w:rsidRPr="007F1538" w:rsidRDefault="00A73AD2">
            <w:pPr>
              <w:rPr>
                <w:rFonts w:cs="Arial"/>
                <w:lang w:val="fr-FR" w:eastAsia="nl-BE"/>
              </w:rPr>
            </w:pP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31" w:type="dxa"/>
            <w:vMerge/>
            <w:tcBorders>
              <w:top w:val="nil"/>
              <w:left w:val="nil"/>
              <w:bottom w:val="nil"/>
              <w:right w:val="single" w:sz="4" w:space="0" w:color="auto"/>
            </w:tcBorders>
            <w:vAlign w:val="center"/>
          </w:tcPr>
          <w:p w:rsidR="00A73AD2" w:rsidRPr="007F1538" w:rsidRDefault="00A73AD2">
            <w:pPr>
              <w:rPr>
                <w:rFonts w:cs="Arial"/>
                <w:lang w:val="fr-FR" w:eastAsia="nl-BE"/>
              </w:rPr>
            </w:pPr>
          </w:p>
        </w:tc>
      </w:tr>
      <w:tr w:rsidR="00A73AD2" w:rsidRPr="007F1538" w:rsidTr="003511DA">
        <w:tc>
          <w:tcPr>
            <w:tcW w:w="3069" w:type="dxa"/>
            <w:tcBorders>
              <w:top w:val="nil"/>
              <w:left w:val="single" w:sz="4" w:space="0" w:color="auto"/>
              <w:bottom w:val="nil"/>
              <w:right w:val="nil"/>
            </w:tcBorders>
            <w:noWrap/>
            <w:vAlign w:val="center"/>
          </w:tcPr>
          <w:p w:rsidR="00A73AD2" w:rsidRPr="007F1538" w:rsidRDefault="003511DA" w:rsidP="00690B4E">
            <w:pPr>
              <w:rPr>
                <w:rFonts w:cs="Arial"/>
                <w:lang w:val="fr-FR" w:eastAsia="nl-BE"/>
              </w:rPr>
            </w:pPr>
            <w:r w:rsidRPr="003511DA">
              <w:rPr>
                <w:rFonts w:cs="Arial"/>
                <w:lang w:val="fr-FR" w:eastAsia="nl-BE"/>
              </w:rPr>
              <w:t>Genre</w:t>
            </w:r>
          </w:p>
        </w:tc>
        <w:tc>
          <w:tcPr>
            <w:tcW w:w="2213" w:type="dxa"/>
            <w:tcBorders>
              <w:top w:val="nil"/>
              <w:left w:val="nil"/>
              <w:bottom w:val="nil"/>
              <w:right w:val="single" w:sz="4" w:space="0" w:color="auto"/>
            </w:tcBorders>
            <w:noWrap/>
            <w:vAlign w:val="center"/>
          </w:tcPr>
          <w:p w:rsidR="00A73AD2" w:rsidRPr="007F1538" w:rsidRDefault="003511DA" w:rsidP="00690B4E">
            <w:pPr>
              <w:rPr>
                <w:rFonts w:cs="Arial"/>
                <w:lang w:val="fr-FR" w:eastAsia="nl-BE"/>
              </w:rPr>
            </w:pPr>
            <w:r w:rsidRPr="003511DA">
              <w:rPr>
                <w:rFonts w:cs="Arial"/>
                <w:lang w:val="fr-FR" w:eastAsia="nl-BE"/>
              </w:rPr>
              <w:t>nombre de femmes</w:t>
            </w:r>
          </w:p>
        </w:tc>
        <w:tc>
          <w:tcPr>
            <w:tcW w:w="1690" w:type="dxa"/>
            <w:tcBorders>
              <w:top w:val="nil"/>
              <w:left w:val="nil"/>
              <w:bottom w:val="nil"/>
              <w:right w:val="nil"/>
            </w:tcBorders>
            <w:noWrap/>
            <w:vAlign w:val="center"/>
          </w:tcPr>
          <w:p w:rsidR="00A73AD2" w:rsidRPr="007F1538" w:rsidRDefault="006D1D8E">
            <w:pPr>
              <w:jc w:val="center"/>
              <w:rPr>
                <w:rFonts w:cs="Arial"/>
                <w:lang w:val="fr-FR" w:eastAsia="nl-BE"/>
              </w:rPr>
            </w:pPr>
            <w:r w:rsidRPr="007F1538">
              <w:rPr>
                <w:rFonts w:cs="Arial"/>
                <w:lang w:val="fr-FR" w:eastAsia="nl-BE"/>
              </w:rPr>
              <w:t>28,2</w:t>
            </w:r>
            <w:r w:rsidR="00A73AD2" w:rsidRPr="007F1538">
              <w:rPr>
                <w:rFonts w:cs="Arial"/>
                <w:lang w:val="fr-FR" w:eastAsia="nl-BE"/>
              </w:rPr>
              <w:t xml:space="preserve"> </w:t>
            </w:r>
            <w:r w:rsidR="00A71705" w:rsidRPr="007F1538">
              <w:rPr>
                <w:rFonts w:cs="Arial"/>
                <w:lang w:val="fr-FR" w:eastAsia="nl-BE"/>
              </w:rPr>
              <w:t>%</w:t>
            </w:r>
          </w:p>
        </w:tc>
        <w:tc>
          <w:tcPr>
            <w:tcW w:w="200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9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31" w:type="dxa"/>
            <w:tcBorders>
              <w:top w:val="nil"/>
              <w:left w:val="nil"/>
              <w:bottom w:val="nil"/>
              <w:right w:val="single" w:sz="4" w:space="0" w:color="auto"/>
            </w:tcBorders>
            <w:noWrap/>
            <w:vAlign w:val="center"/>
          </w:tcPr>
          <w:p w:rsidR="00A73AD2" w:rsidRPr="007F1538" w:rsidRDefault="00D76E56">
            <w:pPr>
              <w:jc w:val="center"/>
              <w:rPr>
                <w:rFonts w:cs="Arial"/>
                <w:lang w:val="fr-FR" w:eastAsia="nl-BE"/>
              </w:rPr>
            </w:pPr>
            <w:r w:rsidRPr="007F1538">
              <w:rPr>
                <w:rFonts w:cs="Arial"/>
                <w:lang w:val="fr-FR" w:eastAsia="nl-BE"/>
              </w:rPr>
              <w:t>32.</w:t>
            </w:r>
            <w:r w:rsidR="00477C27" w:rsidRPr="007F1538">
              <w:rPr>
                <w:rFonts w:cs="Arial"/>
                <w:lang w:val="fr-FR" w:eastAsia="nl-BE"/>
              </w:rPr>
              <w:t>458</w:t>
            </w:r>
          </w:p>
        </w:tc>
      </w:tr>
      <w:tr w:rsidR="00A73AD2" w:rsidRPr="007F1538" w:rsidTr="003511DA">
        <w:trPr>
          <w:cantSplit/>
        </w:trPr>
        <w:tc>
          <w:tcPr>
            <w:tcW w:w="3069" w:type="dxa"/>
            <w:vMerge w:val="restart"/>
            <w:tcBorders>
              <w:top w:val="nil"/>
              <w:left w:val="single" w:sz="4" w:space="0" w:color="auto"/>
              <w:bottom w:val="nil"/>
              <w:right w:val="nil"/>
            </w:tcBorders>
            <w:noWrap/>
            <w:vAlign w:val="center"/>
          </w:tcPr>
          <w:p w:rsidR="00A73AD2" w:rsidRPr="007F1538" w:rsidRDefault="003511DA" w:rsidP="00690B4E">
            <w:pPr>
              <w:rPr>
                <w:rFonts w:cs="Arial"/>
                <w:lang w:val="fr-FR" w:eastAsia="nl-BE"/>
              </w:rPr>
            </w:pPr>
            <w:r w:rsidRPr="003511DA">
              <w:rPr>
                <w:rFonts w:cs="Arial"/>
                <w:lang w:val="fr-FR" w:eastAsia="nl-BE"/>
              </w:rPr>
              <w:t>Niveau d’études</w:t>
            </w:r>
          </w:p>
        </w:tc>
        <w:tc>
          <w:tcPr>
            <w:tcW w:w="2213" w:type="dxa"/>
            <w:tcBorders>
              <w:top w:val="nil"/>
              <w:left w:val="nil"/>
              <w:bottom w:val="nil"/>
              <w:right w:val="single" w:sz="4" w:space="0" w:color="auto"/>
            </w:tcBorders>
            <w:noWrap/>
            <w:vAlign w:val="center"/>
          </w:tcPr>
          <w:p w:rsidR="00A73AD2" w:rsidRPr="00963702" w:rsidRDefault="003511DA" w:rsidP="00963702">
            <w:pPr>
              <w:rPr>
                <w:rFonts w:cs="Arial"/>
                <w:lang w:val="fr-FR" w:eastAsia="nl-BE"/>
              </w:rPr>
            </w:pPr>
            <w:r w:rsidRPr="00963702">
              <w:rPr>
                <w:rFonts w:cs="Arial"/>
                <w:lang w:val="fr-FR" w:eastAsia="nl-BE"/>
              </w:rPr>
              <w:t xml:space="preserve">&lt; </w:t>
            </w:r>
            <w:r w:rsidR="00963702" w:rsidRPr="00963702">
              <w:rPr>
                <w:rFonts w:cs="Arial"/>
                <w:lang w:val="fr-FR" w:eastAsia="nl-BE"/>
              </w:rPr>
              <w:t>ESS</w:t>
            </w:r>
            <w:r w:rsidR="00963702">
              <w:rPr>
                <w:rStyle w:val="FootnoteReference"/>
                <w:rFonts w:cs="Arial"/>
                <w:lang w:val="fr-FR" w:eastAsia="nl-BE"/>
              </w:rPr>
              <w:footnoteReference w:id="9"/>
            </w:r>
          </w:p>
        </w:tc>
        <w:tc>
          <w:tcPr>
            <w:tcW w:w="1690" w:type="dxa"/>
            <w:tcBorders>
              <w:top w:val="nil"/>
              <w:left w:val="nil"/>
              <w:bottom w:val="nil"/>
              <w:right w:val="nil"/>
            </w:tcBorders>
            <w:noWrap/>
            <w:vAlign w:val="center"/>
          </w:tcPr>
          <w:p w:rsidR="00A73AD2" w:rsidRPr="007F1538" w:rsidRDefault="006D1D8E">
            <w:pPr>
              <w:jc w:val="center"/>
              <w:rPr>
                <w:rFonts w:cs="Arial"/>
                <w:lang w:val="fr-FR" w:eastAsia="nl-BE"/>
              </w:rPr>
            </w:pPr>
            <w:r w:rsidRPr="007F1538">
              <w:rPr>
                <w:rFonts w:cs="Arial"/>
                <w:lang w:val="fr-FR" w:eastAsia="nl-BE"/>
              </w:rPr>
              <w:t>23,2</w:t>
            </w:r>
            <w:r w:rsidR="00477C27" w:rsidRPr="007F1538">
              <w:rPr>
                <w:rFonts w:cs="Arial"/>
                <w:lang w:val="fr-FR" w:eastAsia="nl-BE"/>
              </w:rPr>
              <w:t xml:space="preserve"> </w:t>
            </w:r>
            <w:r w:rsidR="00A71705" w:rsidRPr="007F1538">
              <w:rPr>
                <w:rFonts w:cs="Arial"/>
                <w:lang w:val="fr-FR" w:eastAsia="nl-BE"/>
              </w:rPr>
              <w:t>%</w:t>
            </w:r>
          </w:p>
        </w:tc>
        <w:tc>
          <w:tcPr>
            <w:tcW w:w="200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952" w:type="dxa"/>
            <w:tcBorders>
              <w:top w:val="nil"/>
              <w:left w:val="nil"/>
              <w:bottom w:val="nil"/>
              <w:right w:val="nil"/>
            </w:tcBorders>
            <w:noWrap/>
            <w:vAlign w:val="center"/>
          </w:tcPr>
          <w:p w:rsidR="00A73AD2" w:rsidRPr="007F1538" w:rsidRDefault="00EC6D24">
            <w:pPr>
              <w:jc w:val="center"/>
              <w:rPr>
                <w:rFonts w:cs="Arial"/>
                <w:lang w:val="fr-FR" w:eastAsia="nl-BE"/>
              </w:rPr>
            </w:pPr>
            <w:r w:rsidRPr="007F1538">
              <w:rPr>
                <w:rFonts w:cs="Arial"/>
                <w:lang w:val="fr-FR" w:eastAsia="nl-BE"/>
              </w:rPr>
              <w:t>1</w:t>
            </w:r>
            <w:r w:rsidR="00477C27" w:rsidRPr="007F1538">
              <w:rPr>
                <w:rFonts w:cs="Arial"/>
                <w:lang w:val="fr-FR" w:eastAsia="nl-BE"/>
              </w:rPr>
              <w:t>1</w:t>
            </w:r>
            <w:r w:rsidR="00CB7E63" w:rsidRPr="007F1538">
              <w:rPr>
                <w:rFonts w:cs="Arial"/>
                <w:lang w:val="fr-FR" w:eastAsia="nl-BE"/>
              </w:rPr>
              <w:t>0</w:t>
            </w: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31" w:type="dxa"/>
            <w:tcBorders>
              <w:top w:val="nil"/>
              <w:left w:val="nil"/>
              <w:bottom w:val="nil"/>
              <w:right w:val="single" w:sz="4" w:space="0" w:color="auto"/>
            </w:tcBorders>
            <w:noWrap/>
            <w:vAlign w:val="center"/>
          </w:tcPr>
          <w:p w:rsidR="00A73AD2" w:rsidRPr="007F1538" w:rsidRDefault="00A73AD2">
            <w:pPr>
              <w:jc w:val="center"/>
              <w:rPr>
                <w:rFonts w:cs="Arial"/>
                <w:lang w:val="fr-FR" w:eastAsia="nl-BE"/>
              </w:rPr>
            </w:pPr>
          </w:p>
        </w:tc>
      </w:tr>
      <w:tr w:rsidR="00A73AD2" w:rsidRPr="007F1538" w:rsidTr="003511DA">
        <w:trPr>
          <w:cantSplit/>
        </w:trPr>
        <w:tc>
          <w:tcPr>
            <w:tcW w:w="3069" w:type="dxa"/>
            <w:vMerge/>
            <w:tcBorders>
              <w:top w:val="nil"/>
              <w:left w:val="single" w:sz="4" w:space="0" w:color="auto"/>
              <w:bottom w:val="nil"/>
              <w:right w:val="nil"/>
            </w:tcBorders>
            <w:vAlign w:val="center"/>
          </w:tcPr>
          <w:p w:rsidR="00A73AD2" w:rsidRPr="007F1538" w:rsidRDefault="00A73AD2">
            <w:pPr>
              <w:rPr>
                <w:rFonts w:cs="Arial"/>
                <w:lang w:val="fr-FR" w:eastAsia="nl-BE"/>
              </w:rPr>
            </w:pPr>
          </w:p>
        </w:tc>
        <w:tc>
          <w:tcPr>
            <w:tcW w:w="2213" w:type="dxa"/>
            <w:tcBorders>
              <w:top w:val="nil"/>
              <w:left w:val="nil"/>
              <w:bottom w:val="nil"/>
              <w:right w:val="single" w:sz="4" w:space="0" w:color="auto"/>
            </w:tcBorders>
            <w:noWrap/>
            <w:vAlign w:val="center"/>
          </w:tcPr>
          <w:p w:rsidR="00A73AD2" w:rsidRPr="00963702" w:rsidRDefault="003511DA" w:rsidP="00690B4E">
            <w:pPr>
              <w:rPr>
                <w:rFonts w:cs="Arial"/>
                <w:lang w:val="fr-FR" w:eastAsia="nl-BE"/>
              </w:rPr>
            </w:pPr>
            <w:r w:rsidRPr="00963702">
              <w:rPr>
                <w:rFonts w:cs="Arial"/>
                <w:lang w:val="fr-FR" w:eastAsia="nl-BE"/>
              </w:rPr>
              <w:t>ESS</w:t>
            </w:r>
          </w:p>
        </w:tc>
        <w:tc>
          <w:tcPr>
            <w:tcW w:w="1690" w:type="dxa"/>
            <w:tcBorders>
              <w:top w:val="nil"/>
              <w:left w:val="nil"/>
              <w:bottom w:val="nil"/>
              <w:right w:val="nil"/>
            </w:tcBorders>
            <w:noWrap/>
            <w:vAlign w:val="center"/>
          </w:tcPr>
          <w:p w:rsidR="00A73AD2" w:rsidRPr="007F1538" w:rsidRDefault="00477C27" w:rsidP="006D1D8E">
            <w:pPr>
              <w:jc w:val="center"/>
              <w:rPr>
                <w:rFonts w:cs="Arial"/>
                <w:lang w:val="fr-FR" w:eastAsia="nl-BE"/>
              </w:rPr>
            </w:pPr>
            <w:r w:rsidRPr="007F1538">
              <w:rPr>
                <w:rFonts w:cs="Arial"/>
                <w:lang w:val="fr-FR" w:eastAsia="nl-BE"/>
              </w:rPr>
              <w:t>4</w:t>
            </w:r>
            <w:r w:rsidR="006D1D8E" w:rsidRPr="007F1538">
              <w:rPr>
                <w:rFonts w:cs="Arial"/>
                <w:lang w:val="fr-FR" w:eastAsia="nl-BE"/>
              </w:rPr>
              <w:t>6,9</w:t>
            </w:r>
            <w:r w:rsidR="00A73AD2" w:rsidRPr="007F1538">
              <w:rPr>
                <w:rFonts w:cs="Arial"/>
                <w:lang w:val="fr-FR" w:eastAsia="nl-BE"/>
              </w:rPr>
              <w:t xml:space="preserve"> </w:t>
            </w:r>
            <w:r w:rsidR="00A71705" w:rsidRPr="007F1538">
              <w:rPr>
                <w:rFonts w:cs="Arial"/>
                <w:lang w:val="fr-FR" w:eastAsia="nl-BE"/>
              </w:rPr>
              <w:t>%</w:t>
            </w:r>
          </w:p>
        </w:tc>
        <w:tc>
          <w:tcPr>
            <w:tcW w:w="2002" w:type="dxa"/>
            <w:vMerge w:val="restart"/>
            <w:tcBorders>
              <w:top w:val="nil"/>
              <w:left w:val="nil"/>
              <w:bottom w:val="nil"/>
              <w:right w:val="nil"/>
            </w:tcBorders>
            <w:noWrap/>
            <w:vAlign w:val="center"/>
          </w:tcPr>
          <w:p w:rsidR="00A73AD2" w:rsidRPr="007F1538" w:rsidRDefault="00A73AD2">
            <w:pPr>
              <w:jc w:val="center"/>
              <w:rPr>
                <w:rFonts w:cs="Arial"/>
                <w:lang w:val="fr-FR" w:eastAsia="nl-BE"/>
              </w:rPr>
            </w:pPr>
          </w:p>
        </w:tc>
        <w:tc>
          <w:tcPr>
            <w:tcW w:w="1952" w:type="dxa"/>
            <w:tcBorders>
              <w:top w:val="nil"/>
              <w:left w:val="nil"/>
              <w:bottom w:val="nil"/>
              <w:right w:val="nil"/>
            </w:tcBorders>
            <w:noWrap/>
            <w:vAlign w:val="center"/>
          </w:tcPr>
          <w:p w:rsidR="00A73AD2" w:rsidRPr="007F1538" w:rsidRDefault="00D34012" w:rsidP="00690B4E">
            <w:pPr>
              <w:jc w:val="center"/>
              <w:rPr>
                <w:rFonts w:cs="Arial"/>
                <w:lang w:val="fr-FR" w:eastAsia="nl-BE"/>
              </w:rPr>
            </w:pPr>
            <w:r>
              <w:rPr>
                <w:rFonts w:cs="Arial"/>
                <w:lang w:val="fr-FR" w:eastAsia="nl-BE"/>
              </w:rPr>
              <w:t>ne s’applique pas</w:t>
            </w:r>
          </w:p>
        </w:tc>
        <w:tc>
          <w:tcPr>
            <w:tcW w:w="1352" w:type="dxa"/>
            <w:tcBorders>
              <w:top w:val="nil"/>
              <w:left w:val="nil"/>
              <w:bottom w:val="nil"/>
              <w:right w:val="nil"/>
            </w:tcBorders>
            <w:noWrap/>
            <w:vAlign w:val="center"/>
          </w:tcPr>
          <w:p w:rsidR="00A73AD2" w:rsidRPr="007F1538" w:rsidRDefault="00D34012" w:rsidP="00690B4E">
            <w:pPr>
              <w:jc w:val="center"/>
              <w:rPr>
                <w:rFonts w:cs="Arial"/>
                <w:lang w:val="fr-FR" w:eastAsia="nl-BE"/>
              </w:rPr>
            </w:pPr>
            <w:r>
              <w:rPr>
                <w:rFonts w:cs="Arial"/>
                <w:lang w:val="fr-FR" w:eastAsia="nl-BE"/>
              </w:rPr>
              <w:t>ne s’applique pas</w:t>
            </w:r>
          </w:p>
        </w:tc>
        <w:tc>
          <w:tcPr>
            <w:tcW w:w="1331" w:type="dxa"/>
            <w:tcBorders>
              <w:top w:val="nil"/>
              <w:left w:val="nil"/>
              <w:bottom w:val="nil"/>
              <w:right w:val="single" w:sz="4" w:space="0" w:color="auto"/>
            </w:tcBorders>
            <w:noWrap/>
            <w:vAlign w:val="center"/>
          </w:tcPr>
          <w:p w:rsidR="00A73AD2" w:rsidRPr="007F1538" w:rsidRDefault="00A73AD2">
            <w:pPr>
              <w:jc w:val="center"/>
              <w:rPr>
                <w:rFonts w:cs="Arial"/>
                <w:lang w:val="fr-FR" w:eastAsia="nl-BE"/>
              </w:rPr>
            </w:pPr>
          </w:p>
        </w:tc>
      </w:tr>
      <w:tr w:rsidR="00A73AD2" w:rsidRPr="007F1538" w:rsidTr="003511DA">
        <w:trPr>
          <w:cantSplit/>
        </w:trPr>
        <w:tc>
          <w:tcPr>
            <w:tcW w:w="3069" w:type="dxa"/>
            <w:vMerge/>
            <w:tcBorders>
              <w:top w:val="nil"/>
              <w:left w:val="single" w:sz="4" w:space="0" w:color="auto"/>
              <w:bottom w:val="nil"/>
              <w:right w:val="nil"/>
            </w:tcBorders>
            <w:vAlign w:val="center"/>
          </w:tcPr>
          <w:p w:rsidR="00A73AD2" w:rsidRPr="007F1538" w:rsidRDefault="00A73AD2">
            <w:pPr>
              <w:rPr>
                <w:rFonts w:cs="Arial"/>
                <w:lang w:val="fr-FR" w:eastAsia="nl-BE"/>
              </w:rPr>
            </w:pPr>
          </w:p>
        </w:tc>
        <w:tc>
          <w:tcPr>
            <w:tcW w:w="2213" w:type="dxa"/>
            <w:tcBorders>
              <w:top w:val="nil"/>
              <w:left w:val="nil"/>
              <w:bottom w:val="nil"/>
              <w:right w:val="single" w:sz="4" w:space="0" w:color="auto"/>
            </w:tcBorders>
            <w:noWrap/>
            <w:vAlign w:val="center"/>
          </w:tcPr>
          <w:p w:rsidR="00A73AD2" w:rsidRPr="00963702" w:rsidRDefault="003511DA" w:rsidP="00690B4E">
            <w:pPr>
              <w:rPr>
                <w:rFonts w:cs="Arial"/>
                <w:lang w:val="fr-FR" w:eastAsia="nl-BE"/>
              </w:rPr>
            </w:pPr>
            <w:r w:rsidRPr="00963702">
              <w:rPr>
                <w:rFonts w:cs="Arial"/>
                <w:lang w:val="fr-FR" w:eastAsia="nl-BE"/>
              </w:rPr>
              <w:t>&gt; E</w:t>
            </w:r>
            <w:r w:rsidR="00963702" w:rsidRPr="00963702">
              <w:rPr>
                <w:rFonts w:cs="Arial"/>
                <w:lang w:val="fr-FR" w:eastAsia="nl-BE"/>
              </w:rPr>
              <w:t>S</w:t>
            </w:r>
            <w:r w:rsidRPr="00963702">
              <w:rPr>
                <w:rFonts w:cs="Arial"/>
                <w:lang w:val="fr-FR" w:eastAsia="nl-BE"/>
              </w:rPr>
              <w:t>S</w:t>
            </w:r>
          </w:p>
        </w:tc>
        <w:tc>
          <w:tcPr>
            <w:tcW w:w="1690" w:type="dxa"/>
            <w:tcBorders>
              <w:top w:val="nil"/>
              <w:left w:val="nil"/>
              <w:bottom w:val="nil"/>
              <w:right w:val="nil"/>
            </w:tcBorders>
            <w:noWrap/>
            <w:vAlign w:val="center"/>
          </w:tcPr>
          <w:p w:rsidR="00A73AD2" w:rsidRPr="007F1538" w:rsidRDefault="00D76E56" w:rsidP="006D1D8E">
            <w:pPr>
              <w:jc w:val="center"/>
              <w:rPr>
                <w:rFonts w:cs="Arial"/>
                <w:lang w:val="fr-FR" w:eastAsia="nl-BE"/>
              </w:rPr>
            </w:pPr>
            <w:r w:rsidRPr="007F1538">
              <w:rPr>
                <w:rFonts w:cs="Arial"/>
                <w:lang w:val="fr-FR" w:eastAsia="nl-BE"/>
              </w:rPr>
              <w:t>2</w:t>
            </w:r>
            <w:r w:rsidR="00477C27" w:rsidRPr="007F1538">
              <w:rPr>
                <w:rFonts w:cs="Arial"/>
                <w:lang w:val="fr-FR" w:eastAsia="nl-BE"/>
              </w:rPr>
              <w:t>9,</w:t>
            </w:r>
            <w:r w:rsidR="006D1D8E" w:rsidRPr="007F1538">
              <w:rPr>
                <w:rFonts w:cs="Arial"/>
                <w:lang w:val="fr-FR" w:eastAsia="nl-BE"/>
              </w:rPr>
              <w:t>9</w:t>
            </w:r>
            <w:r w:rsidR="00A73AD2" w:rsidRPr="007F1538">
              <w:rPr>
                <w:rFonts w:cs="Arial"/>
                <w:lang w:val="fr-FR" w:eastAsia="nl-BE"/>
              </w:rPr>
              <w:t xml:space="preserve"> </w:t>
            </w:r>
            <w:r w:rsidR="00A71705" w:rsidRPr="007F1538">
              <w:rPr>
                <w:rFonts w:cs="Arial"/>
                <w:lang w:val="fr-FR" w:eastAsia="nl-BE"/>
              </w:rPr>
              <w:t>%</w:t>
            </w:r>
          </w:p>
        </w:tc>
        <w:tc>
          <w:tcPr>
            <w:tcW w:w="2002" w:type="dxa"/>
            <w:vMerge/>
            <w:tcBorders>
              <w:top w:val="nil"/>
              <w:left w:val="nil"/>
              <w:bottom w:val="nil"/>
              <w:right w:val="nil"/>
            </w:tcBorders>
            <w:vAlign w:val="center"/>
          </w:tcPr>
          <w:p w:rsidR="00A73AD2" w:rsidRPr="007F1538" w:rsidRDefault="00A73AD2">
            <w:pPr>
              <w:rPr>
                <w:rFonts w:cs="Arial"/>
                <w:lang w:val="fr-FR" w:eastAsia="nl-BE"/>
              </w:rPr>
            </w:pPr>
          </w:p>
        </w:tc>
        <w:tc>
          <w:tcPr>
            <w:tcW w:w="1952" w:type="dxa"/>
            <w:tcBorders>
              <w:top w:val="nil"/>
              <w:left w:val="nil"/>
              <w:bottom w:val="nil"/>
              <w:right w:val="nil"/>
            </w:tcBorders>
            <w:noWrap/>
            <w:vAlign w:val="center"/>
          </w:tcPr>
          <w:p w:rsidR="00A73AD2" w:rsidRPr="007F1538" w:rsidRDefault="00D34012" w:rsidP="00690B4E">
            <w:pPr>
              <w:jc w:val="center"/>
              <w:rPr>
                <w:rFonts w:cs="Arial"/>
                <w:lang w:val="fr-FR" w:eastAsia="nl-BE"/>
              </w:rPr>
            </w:pPr>
            <w:r>
              <w:rPr>
                <w:rFonts w:cs="Arial"/>
                <w:lang w:val="fr-FR" w:eastAsia="nl-BE"/>
              </w:rPr>
              <w:t>ne s’applique pas</w:t>
            </w:r>
          </w:p>
        </w:tc>
        <w:tc>
          <w:tcPr>
            <w:tcW w:w="1352" w:type="dxa"/>
            <w:tcBorders>
              <w:top w:val="nil"/>
              <w:left w:val="nil"/>
              <w:bottom w:val="nil"/>
              <w:right w:val="nil"/>
            </w:tcBorders>
            <w:noWrap/>
            <w:vAlign w:val="center"/>
          </w:tcPr>
          <w:p w:rsidR="00A73AD2" w:rsidRPr="007F1538" w:rsidRDefault="00D34012" w:rsidP="00690B4E">
            <w:pPr>
              <w:jc w:val="center"/>
              <w:rPr>
                <w:rFonts w:cs="Arial"/>
                <w:lang w:val="fr-FR" w:eastAsia="nl-BE"/>
              </w:rPr>
            </w:pPr>
            <w:r>
              <w:rPr>
                <w:rFonts w:cs="Arial"/>
                <w:lang w:val="fr-FR" w:eastAsia="nl-BE"/>
              </w:rPr>
              <w:t>ne s’applique pas</w:t>
            </w:r>
          </w:p>
        </w:tc>
        <w:tc>
          <w:tcPr>
            <w:tcW w:w="1331" w:type="dxa"/>
            <w:tcBorders>
              <w:top w:val="nil"/>
              <w:left w:val="nil"/>
              <w:bottom w:val="nil"/>
              <w:right w:val="single" w:sz="4" w:space="0" w:color="auto"/>
            </w:tcBorders>
            <w:noWrap/>
            <w:vAlign w:val="center"/>
          </w:tcPr>
          <w:p w:rsidR="00A73AD2" w:rsidRPr="007F1538" w:rsidRDefault="00A73AD2">
            <w:pPr>
              <w:jc w:val="center"/>
              <w:rPr>
                <w:rFonts w:cs="Arial"/>
                <w:lang w:val="fr-FR" w:eastAsia="nl-BE"/>
              </w:rPr>
            </w:pPr>
          </w:p>
        </w:tc>
      </w:tr>
      <w:tr w:rsidR="00A73AD2" w:rsidRPr="007F1538" w:rsidTr="003511DA">
        <w:trPr>
          <w:cantSplit/>
        </w:trPr>
        <w:tc>
          <w:tcPr>
            <w:tcW w:w="3069" w:type="dxa"/>
            <w:vMerge w:val="restart"/>
            <w:tcBorders>
              <w:top w:val="nil"/>
              <w:left w:val="single" w:sz="4" w:space="0" w:color="auto"/>
              <w:bottom w:val="nil"/>
              <w:right w:val="nil"/>
            </w:tcBorders>
            <w:noWrap/>
            <w:vAlign w:val="center"/>
          </w:tcPr>
          <w:p w:rsidR="00A73AD2" w:rsidRPr="007F1538" w:rsidRDefault="003511DA" w:rsidP="00690B4E">
            <w:pPr>
              <w:rPr>
                <w:rFonts w:cs="Arial"/>
                <w:lang w:val="fr-FR" w:eastAsia="nl-BE"/>
              </w:rPr>
            </w:pPr>
            <w:r w:rsidRPr="003511DA">
              <w:rPr>
                <w:rFonts w:cs="Arial"/>
                <w:lang w:val="fr-FR" w:eastAsia="nl-BE"/>
              </w:rPr>
              <w:t>Nationalité</w:t>
            </w:r>
          </w:p>
        </w:tc>
        <w:tc>
          <w:tcPr>
            <w:tcW w:w="2213" w:type="dxa"/>
            <w:tcBorders>
              <w:top w:val="nil"/>
              <w:left w:val="nil"/>
              <w:bottom w:val="nil"/>
              <w:right w:val="single" w:sz="4" w:space="0" w:color="auto"/>
            </w:tcBorders>
            <w:noWrap/>
            <w:vAlign w:val="center"/>
          </w:tcPr>
          <w:p w:rsidR="00A73AD2" w:rsidRPr="007F1538" w:rsidRDefault="003511DA" w:rsidP="00690B4E">
            <w:pPr>
              <w:rPr>
                <w:rFonts w:cs="Arial"/>
                <w:lang w:val="fr-FR" w:eastAsia="nl-BE"/>
              </w:rPr>
            </w:pPr>
            <w:r w:rsidRPr="003511DA">
              <w:rPr>
                <w:rFonts w:cs="Arial"/>
                <w:lang w:val="fr-FR" w:eastAsia="nl-BE"/>
              </w:rPr>
              <w:t>belge</w:t>
            </w:r>
          </w:p>
        </w:tc>
        <w:tc>
          <w:tcPr>
            <w:tcW w:w="1690" w:type="dxa"/>
            <w:tcBorders>
              <w:top w:val="nil"/>
              <w:left w:val="nil"/>
              <w:bottom w:val="nil"/>
              <w:right w:val="nil"/>
            </w:tcBorders>
            <w:noWrap/>
            <w:vAlign w:val="center"/>
          </w:tcPr>
          <w:p w:rsidR="00A73AD2" w:rsidRPr="007F1538" w:rsidRDefault="00A73AD2">
            <w:pPr>
              <w:jc w:val="center"/>
              <w:rPr>
                <w:rFonts w:cs="Arial"/>
                <w:lang w:val="fr-FR" w:eastAsia="nl-BE"/>
              </w:rPr>
            </w:pPr>
            <w:r w:rsidRPr="007F1538">
              <w:rPr>
                <w:rFonts w:cs="Arial"/>
                <w:lang w:val="fr-FR" w:eastAsia="nl-BE"/>
              </w:rPr>
              <w:t> </w:t>
            </w:r>
          </w:p>
        </w:tc>
        <w:tc>
          <w:tcPr>
            <w:tcW w:w="2002" w:type="dxa"/>
            <w:vMerge w:val="restart"/>
            <w:tcBorders>
              <w:top w:val="nil"/>
              <w:left w:val="nil"/>
              <w:bottom w:val="nil"/>
              <w:right w:val="nil"/>
            </w:tcBorders>
            <w:noWrap/>
            <w:vAlign w:val="center"/>
          </w:tcPr>
          <w:p w:rsidR="00A73AD2" w:rsidRPr="007F1538" w:rsidRDefault="00A73AD2">
            <w:pPr>
              <w:jc w:val="center"/>
              <w:rPr>
                <w:rFonts w:cs="Arial"/>
                <w:lang w:val="fr-FR" w:eastAsia="nl-BE"/>
              </w:rPr>
            </w:pPr>
          </w:p>
        </w:tc>
        <w:tc>
          <w:tcPr>
            <w:tcW w:w="19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31" w:type="dxa"/>
            <w:tcBorders>
              <w:top w:val="nil"/>
              <w:left w:val="nil"/>
              <w:bottom w:val="nil"/>
              <w:right w:val="single" w:sz="4" w:space="0" w:color="auto"/>
            </w:tcBorders>
            <w:noWrap/>
            <w:vAlign w:val="center"/>
          </w:tcPr>
          <w:p w:rsidR="00A73AD2" w:rsidRPr="007F1538" w:rsidRDefault="00A73AD2">
            <w:pPr>
              <w:jc w:val="center"/>
              <w:rPr>
                <w:rFonts w:cs="Arial"/>
                <w:lang w:val="fr-FR" w:eastAsia="nl-BE"/>
              </w:rPr>
            </w:pPr>
            <w:r w:rsidRPr="007F1538">
              <w:rPr>
                <w:rFonts w:cs="Arial"/>
                <w:lang w:val="fr-FR" w:eastAsia="nl-BE"/>
              </w:rPr>
              <w:t> </w:t>
            </w:r>
          </w:p>
        </w:tc>
      </w:tr>
      <w:tr w:rsidR="00A73AD2" w:rsidRPr="007F1538" w:rsidTr="003511DA">
        <w:trPr>
          <w:cantSplit/>
        </w:trPr>
        <w:tc>
          <w:tcPr>
            <w:tcW w:w="3069" w:type="dxa"/>
            <w:vMerge/>
            <w:tcBorders>
              <w:top w:val="nil"/>
              <w:left w:val="single" w:sz="4" w:space="0" w:color="auto"/>
              <w:bottom w:val="nil"/>
              <w:right w:val="nil"/>
            </w:tcBorders>
            <w:vAlign w:val="center"/>
          </w:tcPr>
          <w:p w:rsidR="00A73AD2" w:rsidRPr="007F1538" w:rsidRDefault="00A73AD2">
            <w:pPr>
              <w:rPr>
                <w:rFonts w:cs="Arial"/>
                <w:lang w:val="fr-FR" w:eastAsia="nl-BE"/>
              </w:rPr>
            </w:pPr>
          </w:p>
        </w:tc>
        <w:tc>
          <w:tcPr>
            <w:tcW w:w="2213" w:type="dxa"/>
            <w:tcBorders>
              <w:top w:val="nil"/>
              <w:left w:val="nil"/>
              <w:bottom w:val="nil"/>
              <w:right w:val="single" w:sz="4" w:space="0" w:color="auto"/>
            </w:tcBorders>
            <w:noWrap/>
            <w:vAlign w:val="center"/>
          </w:tcPr>
          <w:p w:rsidR="00A73AD2" w:rsidRPr="007F1538" w:rsidRDefault="003511DA" w:rsidP="00690B4E">
            <w:pPr>
              <w:rPr>
                <w:rFonts w:cs="Arial"/>
                <w:lang w:val="fr-FR" w:eastAsia="nl-BE"/>
              </w:rPr>
            </w:pPr>
            <w:r w:rsidRPr="003511DA">
              <w:rPr>
                <w:rFonts w:cs="Arial"/>
                <w:lang w:val="fr-FR" w:eastAsia="nl-BE"/>
              </w:rPr>
              <w:t>Européenne</w:t>
            </w:r>
          </w:p>
        </w:tc>
        <w:tc>
          <w:tcPr>
            <w:tcW w:w="1690" w:type="dxa"/>
            <w:tcBorders>
              <w:top w:val="nil"/>
              <w:left w:val="nil"/>
              <w:bottom w:val="nil"/>
              <w:right w:val="nil"/>
            </w:tcBorders>
            <w:noWrap/>
            <w:vAlign w:val="center"/>
          </w:tcPr>
          <w:p w:rsidR="00A73AD2" w:rsidRPr="007F1538" w:rsidRDefault="00A73AD2">
            <w:pPr>
              <w:jc w:val="center"/>
              <w:rPr>
                <w:rFonts w:cs="Arial"/>
                <w:lang w:val="fr-FR" w:eastAsia="nl-BE"/>
              </w:rPr>
            </w:pPr>
            <w:r w:rsidRPr="007F1538">
              <w:rPr>
                <w:rFonts w:cs="Arial"/>
                <w:lang w:val="fr-FR" w:eastAsia="nl-BE"/>
              </w:rPr>
              <w:t> </w:t>
            </w:r>
          </w:p>
        </w:tc>
        <w:tc>
          <w:tcPr>
            <w:tcW w:w="2002" w:type="dxa"/>
            <w:vMerge/>
            <w:tcBorders>
              <w:top w:val="nil"/>
              <w:left w:val="nil"/>
              <w:bottom w:val="nil"/>
              <w:right w:val="nil"/>
            </w:tcBorders>
            <w:vAlign w:val="center"/>
          </w:tcPr>
          <w:p w:rsidR="00A73AD2" w:rsidRPr="007F1538" w:rsidRDefault="00A73AD2">
            <w:pPr>
              <w:rPr>
                <w:rFonts w:cs="Arial"/>
                <w:lang w:val="fr-FR" w:eastAsia="nl-BE"/>
              </w:rPr>
            </w:pPr>
          </w:p>
        </w:tc>
        <w:tc>
          <w:tcPr>
            <w:tcW w:w="19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31" w:type="dxa"/>
            <w:tcBorders>
              <w:top w:val="nil"/>
              <w:left w:val="nil"/>
              <w:bottom w:val="nil"/>
              <w:right w:val="single" w:sz="4" w:space="0" w:color="auto"/>
            </w:tcBorders>
            <w:noWrap/>
            <w:vAlign w:val="center"/>
          </w:tcPr>
          <w:p w:rsidR="00A73AD2" w:rsidRPr="007F1538" w:rsidRDefault="00A73AD2">
            <w:pPr>
              <w:jc w:val="center"/>
              <w:rPr>
                <w:rFonts w:cs="Arial"/>
                <w:lang w:val="fr-FR" w:eastAsia="nl-BE"/>
              </w:rPr>
            </w:pPr>
            <w:r w:rsidRPr="007F1538">
              <w:rPr>
                <w:rFonts w:cs="Arial"/>
                <w:lang w:val="fr-FR" w:eastAsia="nl-BE"/>
              </w:rPr>
              <w:t> </w:t>
            </w:r>
          </w:p>
        </w:tc>
      </w:tr>
      <w:tr w:rsidR="00A73AD2" w:rsidRPr="007F1538" w:rsidTr="003511DA">
        <w:trPr>
          <w:cantSplit/>
        </w:trPr>
        <w:tc>
          <w:tcPr>
            <w:tcW w:w="3069" w:type="dxa"/>
            <w:vMerge/>
            <w:tcBorders>
              <w:top w:val="nil"/>
              <w:left w:val="single" w:sz="4" w:space="0" w:color="auto"/>
              <w:bottom w:val="nil"/>
              <w:right w:val="nil"/>
            </w:tcBorders>
            <w:vAlign w:val="center"/>
          </w:tcPr>
          <w:p w:rsidR="00A73AD2" w:rsidRPr="007F1538" w:rsidRDefault="00A73AD2">
            <w:pPr>
              <w:rPr>
                <w:rFonts w:cs="Arial"/>
                <w:lang w:val="fr-FR" w:eastAsia="nl-BE"/>
              </w:rPr>
            </w:pPr>
          </w:p>
        </w:tc>
        <w:tc>
          <w:tcPr>
            <w:tcW w:w="2213" w:type="dxa"/>
            <w:tcBorders>
              <w:top w:val="nil"/>
              <w:left w:val="nil"/>
              <w:bottom w:val="nil"/>
              <w:right w:val="single" w:sz="4" w:space="0" w:color="auto"/>
            </w:tcBorders>
            <w:noWrap/>
            <w:vAlign w:val="center"/>
          </w:tcPr>
          <w:p w:rsidR="00A73AD2" w:rsidRPr="007F1538" w:rsidRDefault="003511DA" w:rsidP="00690B4E">
            <w:pPr>
              <w:rPr>
                <w:rFonts w:cs="Arial"/>
                <w:lang w:val="fr-FR" w:eastAsia="nl-BE"/>
              </w:rPr>
            </w:pPr>
            <w:r w:rsidRPr="003511DA">
              <w:rPr>
                <w:rFonts w:cs="Arial"/>
                <w:lang w:val="fr-FR" w:eastAsia="nl-BE"/>
              </w:rPr>
              <w:t>autres</w:t>
            </w:r>
          </w:p>
        </w:tc>
        <w:tc>
          <w:tcPr>
            <w:tcW w:w="1690" w:type="dxa"/>
            <w:tcBorders>
              <w:top w:val="nil"/>
              <w:left w:val="nil"/>
              <w:bottom w:val="nil"/>
              <w:right w:val="nil"/>
            </w:tcBorders>
            <w:noWrap/>
            <w:vAlign w:val="center"/>
          </w:tcPr>
          <w:p w:rsidR="00A73AD2" w:rsidRPr="007F1538" w:rsidRDefault="00A73AD2">
            <w:pPr>
              <w:jc w:val="center"/>
              <w:rPr>
                <w:rFonts w:cs="Arial"/>
                <w:lang w:val="fr-FR" w:eastAsia="nl-BE"/>
              </w:rPr>
            </w:pPr>
            <w:r w:rsidRPr="007F1538">
              <w:rPr>
                <w:rFonts w:cs="Arial"/>
                <w:lang w:val="fr-FR" w:eastAsia="nl-BE"/>
              </w:rPr>
              <w:t> </w:t>
            </w:r>
          </w:p>
        </w:tc>
        <w:tc>
          <w:tcPr>
            <w:tcW w:w="200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9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52" w:type="dxa"/>
            <w:tcBorders>
              <w:top w:val="nil"/>
              <w:left w:val="nil"/>
              <w:bottom w:val="nil"/>
              <w:right w:val="nil"/>
            </w:tcBorders>
            <w:noWrap/>
            <w:vAlign w:val="center"/>
          </w:tcPr>
          <w:p w:rsidR="00A73AD2" w:rsidRPr="007F1538" w:rsidRDefault="00A73AD2">
            <w:pPr>
              <w:jc w:val="center"/>
              <w:rPr>
                <w:rFonts w:cs="Arial"/>
                <w:lang w:val="fr-FR" w:eastAsia="nl-BE"/>
              </w:rPr>
            </w:pPr>
          </w:p>
        </w:tc>
        <w:tc>
          <w:tcPr>
            <w:tcW w:w="1331" w:type="dxa"/>
            <w:tcBorders>
              <w:top w:val="nil"/>
              <w:left w:val="nil"/>
              <w:bottom w:val="nil"/>
              <w:right w:val="single" w:sz="4" w:space="0" w:color="auto"/>
            </w:tcBorders>
            <w:noWrap/>
            <w:vAlign w:val="center"/>
          </w:tcPr>
          <w:p w:rsidR="00A73AD2" w:rsidRPr="007F1538" w:rsidRDefault="00A73AD2">
            <w:pPr>
              <w:jc w:val="center"/>
              <w:rPr>
                <w:rFonts w:cs="Arial"/>
                <w:lang w:val="fr-FR" w:eastAsia="nl-BE"/>
              </w:rPr>
            </w:pPr>
            <w:r w:rsidRPr="007F1538">
              <w:rPr>
                <w:rFonts w:cs="Arial"/>
                <w:lang w:val="fr-FR" w:eastAsia="nl-BE"/>
              </w:rPr>
              <w:t> </w:t>
            </w:r>
          </w:p>
        </w:tc>
      </w:tr>
      <w:tr w:rsidR="005A61BA" w:rsidRPr="007F1538" w:rsidTr="003511DA">
        <w:trPr>
          <w:cantSplit/>
        </w:trPr>
        <w:tc>
          <w:tcPr>
            <w:tcW w:w="3069" w:type="dxa"/>
            <w:vMerge w:val="restart"/>
            <w:tcBorders>
              <w:top w:val="nil"/>
              <w:left w:val="single" w:sz="4" w:space="0" w:color="auto"/>
              <w:bottom w:val="nil"/>
              <w:right w:val="nil"/>
            </w:tcBorders>
            <w:noWrap/>
            <w:vAlign w:val="center"/>
          </w:tcPr>
          <w:p w:rsidR="005A61BA" w:rsidRPr="007F1538" w:rsidRDefault="003511DA" w:rsidP="00690B4E">
            <w:pPr>
              <w:rPr>
                <w:rFonts w:cs="Arial"/>
                <w:lang w:val="fr-FR" w:eastAsia="nl-BE"/>
              </w:rPr>
            </w:pPr>
            <w:r w:rsidRPr="003511DA">
              <w:rPr>
                <w:rFonts w:cs="Arial"/>
                <w:lang w:val="fr-FR" w:eastAsia="nl-BE"/>
              </w:rPr>
              <w:t>Age</w:t>
            </w:r>
          </w:p>
        </w:tc>
        <w:tc>
          <w:tcPr>
            <w:tcW w:w="2213" w:type="dxa"/>
            <w:tcBorders>
              <w:top w:val="nil"/>
              <w:left w:val="nil"/>
              <w:bottom w:val="nil"/>
              <w:right w:val="single" w:sz="4" w:space="0" w:color="auto"/>
            </w:tcBorders>
            <w:noWrap/>
            <w:vAlign w:val="center"/>
          </w:tcPr>
          <w:p w:rsidR="005A61BA" w:rsidRPr="007F1538" w:rsidRDefault="003511DA" w:rsidP="00690B4E">
            <w:pPr>
              <w:rPr>
                <w:rFonts w:cs="Arial"/>
                <w:lang w:val="fr-FR" w:eastAsia="nl-BE"/>
              </w:rPr>
            </w:pPr>
            <w:r w:rsidRPr="003511DA">
              <w:rPr>
                <w:rFonts w:cs="Arial"/>
                <w:lang w:val="fr-FR" w:eastAsia="nl-BE"/>
              </w:rPr>
              <w:t>&lt; 30 ans</w:t>
            </w:r>
            <w:r w:rsidR="002367EE" w:rsidRPr="007F1538">
              <w:rPr>
                <w:rFonts w:cs="Arial"/>
                <w:lang w:val="fr-FR" w:eastAsia="nl-BE"/>
              </w:rPr>
              <w:t xml:space="preserve"> </w:t>
            </w:r>
          </w:p>
        </w:tc>
        <w:tc>
          <w:tcPr>
            <w:tcW w:w="1690" w:type="dxa"/>
            <w:tcBorders>
              <w:top w:val="nil"/>
              <w:left w:val="nil"/>
              <w:bottom w:val="nil"/>
              <w:right w:val="nil"/>
            </w:tcBorders>
            <w:noWrap/>
            <w:vAlign w:val="bottom"/>
          </w:tcPr>
          <w:p w:rsidR="005A61BA" w:rsidRPr="007F1538" w:rsidRDefault="006D1D8E" w:rsidP="005A61BA">
            <w:pPr>
              <w:jc w:val="center"/>
              <w:rPr>
                <w:rFonts w:cs="Arial"/>
                <w:lang w:val="fr-FR"/>
              </w:rPr>
            </w:pPr>
            <w:r w:rsidRPr="007F1538">
              <w:rPr>
                <w:rFonts w:cs="Arial"/>
                <w:lang w:val="fr-FR"/>
              </w:rPr>
              <w:t>18</w:t>
            </w:r>
            <w:r w:rsidR="003F6B2E" w:rsidRPr="007F1538">
              <w:rPr>
                <w:rFonts w:cs="Arial"/>
                <w:lang w:val="fr-FR"/>
              </w:rPr>
              <w:t>%</w:t>
            </w:r>
          </w:p>
        </w:tc>
        <w:tc>
          <w:tcPr>
            <w:tcW w:w="2002" w:type="dxa"/>
            <w:tcBorders>
              <w:top w:val="nil"/>
              <w:left w:val="nil"/>
              <w:bottom w:val="nil"/>
              <w:right w:val="nil"/>
            </w:tcBorders>
            <w:noWrap/>
            <w:vAlign w:val="center"/>
          </w:tcPr>
          <w:p w:rsidR="005A61BA" w:rsidRPr="007F1538" w:rsidRDefault="005A61BA">
            <w:pPr>
              <w:jc w:val="center"/>
              <w:rPr>
                <w:rFonts w:cs="Arial"/>
                <w:lang w:val="fr-FR" w:eastAsia="nl-BE"/>
              </w:rPr>
            </w:pPr>
          </w:p>
        </w:tc>
        <w:tc>
          <w:tcPr>
            <w:tcW w:w="1952" w:type="dxa"/>
            <w:tcBorders>
              <w:top w:val="nil"/>
              <w:left w:val="nil"/>
              <w:bottom w:val="nil"/>
              <w:right w:val="nil"/>
            </w:tcBorders>
            <w:noWrap/>
            <w:vAlign w:val="center"/>
          </w:tcPr>
          <w:p w:rsidR="005A61BA" w:rsidRPr="007F1538" w:rsidRDefault="00EC6D24">
            <w:pPr>
              <w:jc w:val="center"/>
              <w:rPr>
                <w:rFonts w:cs="Arial"/>
                <w:lang w:val="fr-FR" w:eastAsia="nl-BE"/>
              </w:rPr>
            </w:pPr>
            <w:r w:rsidRPr="007F1538">
              <w:rPr>
                <w:rFonts w:cs="Arial"/>
                <w:lang w:val="fr-FR" w:eastAsia="nl-BE"/>
              </w:rPr>
              <w:t>1</w:t>
            </w:r>
            <w:r w:rsidR="00477C27" w:rsidRPr="007F1538">
              <w:rPr>
                <w:rFonts w:cs="Arial"/>
                <w:lang w:val="fr-FR" w:eastAsia="nl-BE"/>
              </w:rPr>
              <w:t>1</w:t>
            </w:r>
            <w:r w:rsidR="00E62985" w:rsidRPr="007F1538">
              <w:rPr>
                <w:rFonts w:cs="Arial"/>
                <w:lang w:val="fr-FR" w:eastAsia="nl-BE"/>
              </w:rPr>
              <w:t>0</w:t>
            </w:r>
          </w:p>
        </w:tc>
        <w:tc>
          <w:tcPr>
            <w:tcW w:w="1352" w:type="dxa"/>
            <w:tcBorders>
              <w:top w:val="nil"/>
              <w:left w:val="nil"/>
              <w:bottom w:val="nil"/>
              <w:right w:val="nil"/>
            </w:tcBorders>
            <w:noWrap/>
            <w:vAlign w:val="center"/>
          </w:tcPr>
          <w:p w:rsidR="005A61BA" w:rsidRPr="007F1538" w:rsidRDefault="005A61BA">
            <w:pPr>
              <w:jc w:val="center"/>
              <w:rPr>
                <w:rFonts w:cs="Arial"/>
                <w:lang w:val="fr-FR" w:eastAsia="nl-BE"/>
              </w:rPr>
            </w:pPr>
          </w:p>
        </w:tc>
        <w:tc>
          <w:tcPr>
            <w:tcW w:w="1331" w:type="dxa"/>
            <w:tcBorders>
              <w:top w:val="nil"/>
              <w:left w:val="nil"/>
              <w:bottom w:val="nil"/>
              <w:right w:val="single" w:sz="4" w:space="0" w:color="auto"/>
            </w:tcBorders>
            <w:noWrap/>
            <w:vAlign w:val="center"/>
          </w:tcPr>
          <w:p w:rsidR="005A61BA" w:rsidRPr="007F1538" w:rsidRDefault="005A61BA">
            <w:pPr>
              <w:jc w:val="center"/>
              <w:rPr>
                <w:rFonts w:cs="Arial"/>
                <w:lang w:val="fr-FR" w:eastAsia="nl-BE"/>
              </w:rPr>
            </w:pPr>
          </w:p>
        </w:tc>
      </w:tr>
      <w:tr w:rsidR="005A61BA" w:rsidRPr="007F1538" w:rsidTr="003511DA">
        <w:trPr>
          <w:cantSplit/>
        </w:trPr>
        <w:tc>
          <w:tcPr>
            <w:tcW w:w="3069" w:type="dxa"/>
            <w:vMerge/>
            <w:tcBorders>
              <w:top w:val="nil"/>
              <w:left w:val="single" w:sz="4" w:space="0" w:color="auto"/>
              <w:bottom w:val="nil"/>
              <w:right w:val="nil"/>
            </w:tcBorders>
            <w:vAlign w:val="center"/>
          </w:tcPr>
          <w:p w:rsidR="005A61BA" w:rsidRPr="007F1538" w:rsidRDefault="005A61BA">
            <w:pPr>
              <w:rPr>
                <w:rFonts w:cs="Arial"/>
                <w:lang w:val="fr-FR" w:eastAsia="nl-BE"/>
              </w:rPr>
            </w:pPr>
          </w:p>
        </w:tc>
        <w:tc>
          <w:tcPr>
            <w:tcW w:w="2213" w:type="dxa"/>
            <w:tcBorders>
              <w:top w:val="nil"/>
              <w:left w:val="nil"/>
              <w:bottom w:val="nil"/>
              <w:right w:val="single" w:sz="4" w:space="0" w:color="auto"/>
            </w:tcBorders>
            <w:noWrap/>
            <w:vAlign w:val="center"/>
          </w:tcPr>
          <w:p w:rsidR="005A61BA" w:rsidRPr="007F1538" w:rsidRDefault="003511DA" w:rsidP="00690B4E">
            <w:pPr>
              <w:rPr>
                <w:rFonts w:cs="Arial"/>
                <w:lang w:val="fr-FR" w:eastAsia="nl-BE"/>
              </w:rPr>
            </w:pPr>
            <w:r w:rsidRPr="003511DA">
              <w:rPr>
                <w:rFonts w:cs="Arial"/>
                <w:lang w:val="fr-FR" w:eastAsia="nl-BE"/>
              </w:rPr>
              <w:t>30 à 44 ans</w:t>
            </w:r>
            <w:r w:rsidR="002367EE" w:rsidRPr="007F1538">
              <w:rPr>
                <w:rFonts w:cs="Arial"/>
                <w:lang w:val="fr-FR" w:eastAsia="nl-BE"/>
              </w:rPr>
              <w:t xml:space="preserve"> </w:t>
            </w:r>
          </w:p>
        </w:tc>
        <w:tc>
          <w:tcPr>
            <w:tcW w:w="1690" w:type="dxa"/>
            <w:tcBorders>
              <w:top w:val="nil"/>
              <w:left w:val="nil"/>
              <w:bottom w:val="nil"/>
              <w:right w:val="nil"/>
            </w:tcBorders>
            <w:noWrap/>
            <w:vAlign w:val="bottom"/>
          </w:tcPr>
          <w:p w:rsidR="005A61BA" w:rsidRPr="007F1538" w:rsidRDefault="006D1D8E" w:rsidP="005A61BA">
            <w:pPr>
              <w:jc w:val="center"/>
              <w:rPr>
                <w:rFonts w:cs="Arial"/>
                <w:lang w:val="fr-FR"/>
              </w:rPr>
            </w:pPr>
            <w:r w:rsidRPr="007F1538">
              <w:rPr>
                <w:rFonts w:cs="Arial"/>
                <w:lang w:val="fr-FR"/>
              </w:rPr>
              <w:t>50,1</w:t>
            </w:r>
            <w:r w:rsidR="003F6B2E" w:rsidRPr="007F1538">
              <w:rPr>
                <w:rFonts w:cs="Arial"/>
                <w:lang w:val="fr-FR"/>
              </w:rPr>
              <w:t>%</w:t>
            </w:r>
          </w:p>
        </w:tc>
        <w:tc>
          <w:tcPr>
            <w:tcW w:w="2002" w:type="dxa"/>
            <w:vMerge w:val="restart"/>
            <w:tcBorders>
              <w:top w:val="nil"/>
              <w:left w:val="nil"/>
              <w:bottom w:val="nil"/>
              <w:right w:val="nil"/>
            </w:tcBorders>
            <w:noWrap/>
            <w:vAlign w:val="center"/>
          </w:tcPr>
          <w:p w:rsidR="005A61BA" w:rsidRPr="007F1538" w:rsidRDefault="005A61BA">
            <w:pPr>
              <w:jc w:val="center"/>
              <w:rPr>
                <w:rFonts w:cs="Arial"/>
                <w:lang w:val="fr-FR" w:eastAsia="nl-BE"/>
              </w:rPr>
            </w:pPr>
          </w:p>
        </w:tc>
        <w:tc>
          <w:tcPr>
            <w:tcW w:w="1952" w:type="dxa"/>
            <w:tcBorders>
              <w:top w:val="nil"/>
              <w:left w:val="nil"/>
              <w:bottom w:val="nil"/>
              <w:right w:val="nil"/>
            </w:tcBorders>
            <w:noWrap/>
            <w:vAlign w:val="center"/>
          </w:tcPr>
          <w:p w:rsidR="005A61BA" w:rsidRPr="007F1538" w:rsidRDefault="00D34012" w:rsidP="00690B4E">
            <w:pPr>
              <w:jc w:val="center"/>
              <w:rPr>
                <w:rFonts w:cs="Arial"/>
                <w:lang w:val="fr-FR" w:eastAsia="nl-BE"/>
              </w:rPr>
            </w:pPr>
            <w:r>
              <w:rPr>
                <w:rFonts w:cs="Arial"/>
                <w:lang w:val="fr-FR" w:eastAsia="nl-BE"/>
              </w:rPr>
              <w:t>ne s’applique pas</w:t>
            </w:r>
          </w:p>
        </w:tc>
        <w:tc>
          <w:tcPr>
            <w:tcW w:w="1352" w:type="dxa"/>
            <w:tcBorders>
              <w:top w:val="nil"/>
              <w:left w:val="nil"/>
              <w:bottom w:val="nil"/>
              <w:right w:val="nil"/>
            </w:tcBorders>
            <w:noWrap/>
            <w:vAlign w:val="center"/>
          </w:tcPr>
          <w:p w:rsidR="005A61BA" w:rsidRPr="007F1538" w:rsidRDefault="00D34012" w:rsidP="00690B4E">
            <w:pPr>
              <w:jc w:val="center"/>
              <w:rPr>
                <w:rFonts w:cs="Arial"/>
                <w:lang w:val="fr-FR" w:eastAsia="nl-BE"/>
              </w:rPr>
            </w:pPr>
            <w:r>
              <w:rPr>
                <w:rFonts w:cs="Arial"/>
                <w:lang w:val="fr-FR" w:eastAsia="nl-BE"/>
              </w:rPr>
              <w:t>ne s’applique pas</w:t>
            </w:r>
          </w:p>
        </w:tc>
        <w:tc>
          <w:tcPr>
            <w:tcW w:w="1331" w:type="dxa"/>
            <w:tcBorders>
              <w:top w:val="nil"/>
              <w:left w:val="nil"/>
              <w:bottom w:val="nil"/>
              <w:right w:val="single" w:sz="4" w:space="0" w:color="auto"/>
            </w:tcBorders>
            <w:noWrap/>
            <w:vAlign w:val="center"/>
          </w:tcPr>
          <w:p w:rsidR="005A61BA" w:rsidRPr="007F1538" w:rsidRDefault="005A61BA">
            <w:pPr>
              <w:jc w:val="center"/>
              <w:rPr>
                <w:rFonts w:cs="Arial"/>
                <w:lang w:val="fr-FR" w:eastAsia="nl-BE"/>
              </w:rPr>
            </w:pPr>
          </w:p>
        </w:tc>
      </w:tr>
      <w:tr w:rsidR="005A61BA" w:rsidRPr="007F1538" w:rsidTr="003511DA">
        <w:trPr>
          <w:cantSplit/>
        </w:trPr>
        <w:tc>
          <w:tcPr>
            <w:tcW w:w="3069" w:type="dxa"/>
            <w:vMerge/>
            <w:tcBorders>
              <w:top w:val="nil"/>
              <w:left w:val="single" w:sz="4" w:space="0" w:color="auto"/>
              <w:bottom w:val="nil"/>
              <w:right w:val="nil"/>
            </w:tcBorders>
            <w:vAlign w:val="center"/>
          </w:tcPr>
          <w:p w:rsidR="005A61BA" w:rsidRPr="007F1538" w:rsidRDefault="005A61BA">
            <w:pPr>
              <w:rPr>
                <w:rFonts w:cs="Arial"/>
                <w:lang w:val="fr-FR" w:eastAsia="nl-BE"/>
              </w:rPr>
            </w:pPr>
          </w:p>
        </w:tc>
        <w:tc>
          <w:tcPr>
            <w:tcW w:w="2213" w:type="dxa"/>
            <w:tcBorders>
              <w:top w:val="nil"/>
              <w:left w:val="nil"/>
              <w:bottom w:val="nil"/>
              <w:right w:val="single" w:sz="4" w:space="0" w:color="auto"/>
            </w:tcBorders>
            <w:noWrap/>
            <w:vAlign w:val="center"/>
          </w:tcPr>
          <w:p w:rsidR="005A61BA" w:rsidRPr="007F1538" w:rsidRDefault="003511DA" w:rsidP="00690B4E">
            <w:pPr>
              <w:rPr>
                <w:rFonts w:cs="Arial"/>
                <w:lang w:val="fr-FR" w:eastAsia="nl-BE"/>
              </w:rPr>
            </w:pPr>
            <w:r w:rsidRPr="003511DA">
              <w:rPr>
                <w:rFonts w:cs="Arial"/>
                <w:lang w:val="fr-FR" w:eastAsia="nl-BE"/>
              </w:rPr>
              <w:t>45 ans et &gt;</w:t>
            </w:r>
          </w:p>
        </w:tc>
        <w:tc>
          <w:tcPr>
            <w:tcW w:w="1690" w:type="dxa"/>
            <w:tcBorders>
              <w:top w:val="nil"/>
              <w:left w:val="nil"/>
              <w:bottom w:val="nil"/>
              <w:right w:val="nil"/>
            </w:tcBorders>
            <w:noWrap/>
            <w:vAlign w:val="bottom"/>
          </w:tcPr>
          <w:p w:rsidR="005A61BA" w:rsidRPr="007F1538" w:rsidRDefault="00C463A8" w:rsidP="005A61BA">
            <w:pPr>
              <w:jc w:val="center"/>
              <w:rPr>
                <w:rFonts w:cs="Arial"/>
                <w:lang w:val="fr-FR"/>
              </w:rPr>
            </w:pPr>
            <w:r w:rsidRPr="007F1538">
              <w:rPr>
                <w:rFonts w:cs="Arial"/>
                <w:lang w:val="fr-FR"/>
              </w:rPr>
              <w:t>31,9</w:t>
            </w:r>
            <w:r w:rsidR="003F6B2E" w:rsidRPr="007F1538">
              <w:rPr>
                <w:rFonts w:cs="Arial"/>
                <w:lang w:val="fr-FR"/>
              </w:rPr>
              <w:t>%</w:t>
            </w:r>
          </w:p>
        </w:tc>
        <w:tc>
          <w:tcPr>
            <w:tcW w:w="2002" w:type="dxa"/>
            <w:vMerge/>
            <w:tcBorders>
              <w:top w:val="nil"/>
              <w:left w:val="nil"/>
              <w:bottom w:val="nil"/>
              <w:right w:val="nil"/>
            </w:tcBorders>
            <w:vAlign w:val="center"/>
          </w:tcPr>
          <w:p w:rsidR="005A61BA" w:rsidRPr="007F1538" w:rsidRDefault="005A61BA">
            <w:pPr>
              <w:rPr>
                <w:rFonts w:cs="Arial"/>
                <w:lang w:val="fr-FR" w:eastAsia="nl-BE"/>
              </w:rPr>
            </w:pPr>
          </w:p>
        </w:tc>
        <w:tc>
          <w:tcPr>
            <w:tcW w:w="1952" w:type="dxa"/>
            <w:tcBorders>
              <w:top w:val="nil"/>
              <w:left w:val="nil"/>
              <w:bottom w:val="nil"/>
              <w:right w:val="nil"/>
            </w:tcBorders>
            <w:noWrap/>
            <w:vAlign w:val="center"/>
          </w:tcPr>
          <w:p w:rsidR="005A61BA" w:rsidRPr="007F1538" w:rsidRDefault="00D34012" w:rsidP="00690B4E">
            <w:pPr>
              <w:jc w:val="center"/>
              <w:rPr>
                <w:rFonts w:cs="Arial"/>
                <w:lang w:val="fr-FR" w:eastAsia="nl-BE"/>
              </w:rPr>
            </w:pPr>
            <w:r>
              <w:rPr>
                <w:rFonts w:cs="Arial"/>
                <w:lang w:val="fr-FR" w:eastAsia="nl-BE"/>
              </w:rPr>
              <w:t>ne s’applique pas</w:t>
            </w:r>
          </w:p>
        </w:tc>
        <w:tc>
          <w:tcPr>
            <w:tcW w:w="1352" w:type="dxa"/>
            <w:tcBorders>
              <w:top w:val="nil"/>
              <w:left w:val="nil"/>
              <w:bottom w:val="nil"/>
              <w:right w:val="nil"/>
            </w:tcBorders>
            <w:noWrap/>
            <w:vAlign w:val="center"/>
          </w:tcPr>
          <w:p w:rsidR="005A61BA" w:rsidRPr="007F1538" w:rsidRDefault="00D34012" w:rsidP="00690B4E">
            <w:pPr>
              <w:jc w:val="center"/>
              <w:rPr>
                <w:rFonts w:cs="Arial"/>
                <w:lang w:val="fr-FR" w:eastAsia="nl-BE"/>
              </w:rPr>
            </w:pPr>
            <w:r>
              <w:rPr>
                <w:rFonts w:cs="Arial"/>
                <w:lang w:val="fr-FR" w:eastAsia="nl-BE"/>
              </w:rPr>
              <w:t>ne s’applique pas</w:t>
            </w:r>
          </w:p>
        </w:tc>
        <w:tc>
          <w:tcPr>
            <w:tcW w:w="1331" w:type="dxa"/>
            <w:tcBorders>
              <w:top w:val="nil"/>
              <w:left w:val="nil"/>
              <w:bottom w:val="nil"/>
              <w:right w:val="single" w:sz="4" w:space="0" w:color="auto"/>
            </w:tcBorders>
            <w:noWrap/>
            <w:vAlign w:val="center"/>
          </w:tcPr>
          <w:p w:rsidR="005A61BA" w:rsidRPr="007F1538" w:rsidRDefault="005A61BA">
            <w:pPr>
              <w:jc w:val="center"/>
              <w:rPr>
                <w:rFonts w:cs="Arial"/>
                <w:lang w:val="fr-FR" w:eastAsia="nl-BE"/>
              </w:rPr>
            </w:pPr>
          </w:p>
        </w:tc>
      </w:tr>
      <w:tr w:rsidR="00A73AD2" w:rsidRPr="007F1538" w:rsidTr="003511DA">
        <w:tc>
          <w:tcPr>
            <w:tcW w:w="5282" w:type="dxa"/>
            <w:gridSpan w:val="2"/>
            <w:tcBorders>
              <w:top w:val="nil"/>
              <w:left w:val="single" w:sz="4" w:space="0" w:color="auto"/>
              <w:bottom w:val="single" w:sz="4" w:space="0" w:color="auto"/>
              <w:right w:val="single" w:sz="4" w:space="0" w:color="000000"/>
            </w:tcBorders>
            <w:noWrap/>
            <w:vAlign w:val="center"/>
          </w:tcPr>
          <w:p w:rsidR="00A73AD2" w:rsidRPr="007F1538" w:rsidRDefault="003511DA" w:rsidP="00690B4E">
            <w:pPr>
              <w:rPr>
                <w:rFonts w:cs="Arial"/>
                <w:lang w:val="fr-FR" w:eastAsia="nl-BE"/>
              </w:rPr>
            </w:pPr>
            <w:r w:rsidRPr="003511DA">
              <w:rPr>
                <w:rFonts w:cs="Arial"/>
                <w:lang w:val="fr-FR" w:eastAsia="nl-BE"/>
              </w:rPr>
              <w:t>Nombre d’heures de formation</w:t>
            </w:r>
          </w:p>
        </w:tc>
        <w:tc>
          <w:tcPr>
            <w:tcW w:w="1690" w:type="dxa"/>
            <w:tcBorders>
              <w:top w:val="nil"/>
              <w:left w:val="nil"/>
              <w:bottom w:val="single" w:sz="4" w:space="0" w:color="auto"/>
              <w:right w:val="nil"/>
            </w:tcBorders>
            <w:noWrap/>
            <w:vAlign w:val="center"/>
          </w:tcPr>
          <w:p w:rsidR="00A73AD2" w:rsidRPr="007F1538" w:rsidRDefault="00CB7E63" w:rsidP="00EC6D24">
            <w:pPr>
              <w:jc w:val="center"/>
              <w:rPr>
                <w:rFonts w:cs="Arial"/>
                <w:lang w:val="fr-FR"/>
              </w:rPr>
            </w:pPr>
            <w:r w:rsidRPr="007F1538">
              <w:rPr>
                <w:rFonts w:cs="Arial"/>
                <w:lang w:val="fr-FR"/>
              </w:rPr>
              <w:t>182.964</w:t>
            </w:r>
          </w:p>
        </w:tc>
        <w:tc>
          <w:tcPr>
            <w:tcW w:w="2002" w:type="dxa"/>
            <w:tcBorders>
              <w:top w:val="nil"/>
              <w:left w:val="nil"/>
              <w:bottom w:val="single" w:sz="4" w:space="0" w:color="auto"/>
              <w:right w:val="nil"/>
            </w:tcBorders>
            <w:noWrap/>
            <w:vAlign w:val="center"/>
          </w:tcPr>
          <w:p w:rsidR="00A73AD2" w:rsidRPr="007F1538" w:rsidRDefault="00A73AD2">
            <w:pPr>
              <w:jc w:val="center"/>
              <w:rPr>
                <w:rFonts w:cs="Arial"/>
                <w:lang w:val="fr-FR" w:eastAsia="nl-BE"/>
              </w:rPr>
            </w:pPr>
            <w:r w:rsidRPr="007F1538">
              <w:rPr>
                <w:rFonts w:cs="Arial"/>
                <w:lang w:val="fr-FR" w:eastAsia="nl-BE"/>
              </w:rPr>
              <w:t> </w:t>
            </w:r>
          </w:p>
        </w:tc>
        <w:tc>
          <w:tcPr>
            <w:tcW w:w="1952" w:type="dxa"/>
            <w:tcBorders>
              <w:top w:val="nil"/>
              <w:left w:val="nil"/>
              <w:bottom w:val="single" w:sz="4" w:space="0" w:color="auto"/>
              <w:right w:val="nil"/>
            </w:tcBorders>
            <w:noWrap/>
            <w:vAlign w:val="center"/>
          </w:tcPr>
          <w:p w:rsidR="00A73AD2" w:rsidRPr="007F1538" w:rsidRDefault="003511DA" w:rsidP="00690B4E">
            <w:pPr>
              <w:jc w:val="center"/>
              <w:rPr>
                <w:rFonts w:cs="Arial"/>
                <w:lang w:val="fr-FR" w:eastAsia="nl-BE"/>
              </w:rPr>
            </w:pPr>
            <w:r w:rsidRPr="003511DA">
              <w:rPr>
                <w:rFonts w:cs="Arial"/>
                <w:lang w:val="fr-FR" w:eastAsia="nl-BE"/>
              </w:rPr>
              <w:t>1 ou 2 année(s) scolaire(s)</w:t>
            </w:r>
          </w:p>
        </w:tc>
        <w:tc>
          <w:tcPr>
            <w:tcW w:w="1352" w:type="dxa"/>
            <w:tcBorders>
              <w:top w:val="nil"/>
              <w:left w:val="nil"/>
              <w:bottom w:val="single" w:sz="4" w:space="0" w:color="auto"/>
              <w:right w:val="nil"/>
            </w:tcBorders>
            <w:noWrap/>
            <w:vAlign w:val="center"/>
          </w:tcPr>
          <w:p w:rsidR="00A73AD2" w:rsidRPr="007F1538" w:rsidRDefault="00A73AD2">
            <w:pPr>
              <w:jc w:val="center"/>
              <w:rPr>
                <w:rFonts w:cs="Arial"/>
                <w:lang w:val="fr-FR" w:eastAsia="nl-BE"/>
              </w:rPr>
            </w:pPr>
            <w:r w:rsidRPr="007F1538">
              <w:rPr>
                <w:rFonts w:cs="Arial"/>
                <w:lang w:val="fr-FR" w:eastAsia="nl-BE"/>
              </w:rPr>
              <w:t> </w:t>
            </w:r>
          </w:p>
        </w:tc>
        <w:tc>
          <w:tcPr>
            <w:tcW w:w="1331" w:type="dxa"/>
            <w:tcBorders>
              <w:top w:val="nil"/>
              <w:left w:val="nil"/>
              <w:bottom w:val="single" w:sz="4" w:space="0" w:color="auto"/>
              <w:right w:val="single" w:sz="4" w:space="0" w:color="auto"/>
            </w:tcBorders>
            <w:noWrap/>
            <w:vAlign w:val="center"/>
          </w:tcPr>
          <w:p w:rsidR="00A73AD2" w:rsidRPr="007F1538" w:rsidRDefault="00A55273" w:rsidP="00671C63">
            <w:pPr>
              <w:jc w:val="center"/>
              <w:rPr>
                <w:rFonts w:cs="Arial"/>
                <w:lang w:val="fr-FR" w:eastAsia="nl-BE"/>
              </w:rPr>
            </w:pPr>
            <w:r w:rsidRPr="007F1538">
              <w:rPr>
                <w:rFonts w:cs="Arial"/>
                <w:lang w:val="fr-FR" w:eastAsia="nl-BE"/>
              </w:rPr>
              <w:t>0,6</w:t>
            </w:r>
            <w:r w:rsidR="00671C63" w:rsidRPr="007F1538">
              <w:rPr>
                <w:rFonts w:cs="Arial"/>
                <w:lang w:val="fr-FR" w:eastAsia="nl-BE"/>
              </w:rPr>
              <w:t>1</w:t>
            </w:r>
            <w:r w:rsidR="00A73AD2" w:rsidRPr="007F1538">
              <w:rPr>
                <w:rFonts w:cs="Arial"/>
                <w:lang w:val="fr-FR" w:eastAsia="nl-BE"/>
              </w:rPr>
              <w:t xml:space="preserve"> </w:t>
            </w:r>
            <w:r w:rsidR="00A71705" w:rsidRPr="007F1538">
              <w:rPr>
                <w:rFonts w:cs="Arial"/>
                <w:lang w:val="fr-FR" w:eastAsia="nl-BE"/>
              </w:rPr>
              <w:t>%</w:t>
            </w:r>
            <w:r w:rsidR="003A74BE" w:rsidRPr="007F1538">
              <w:rPr>
                <w:rFonts w:cs="Arial"/>
                <w:vertAlign w:val="superscript"/>
                <w:lang w:val="fr-FR" w:eastAsia="nl-BE"/>
              </w:rPr>
              <w:t>4</w:t>
            </w:r>
          </w:p>
        </w:tc>
      </w:tr>
      <w:tr w:rsidR="00A73AD2" w:rsidRPr="007B0288" w:rsidTr="003511DA">
        <w:tc>
          <w:tcPr>
            <w:tcW w:w="13609" w:type="dxa"/>
            <w:gridSpan w:val="7"/>
            <w:tcBorders>
              <w:top w:val="nil"/>
              <w:left w:val="nil"/>
              <w:bottom w:val="nil"/>
              <w:right w:val="nil"/>
            </w:tcBorders>
            <w:noWrap/>
            <w:vAlign w:val="center"/>
          </w:tcPr>
          <w:p w:rsidR="00A73AD2" w:rsidRPr="007F1538" w:rsidRDefault="00A73AD2" w:rsidP="00690B4E">
            <w:pPr>
              <w:ind w:left="305" w:hanging="305"/>
              <w:rPr>
                <w:rFonts w:cs="Arial"/>
                <w:lang w:val="fr-FR" w:eastAsia="nl-BE"/>
              </w:rPr>
            </w:pPr>
            <w:r w:rsidRPr="007F1538">
              <w:rPr>
                <w:rFonts w:cs="Arial"/>
                <w:lang w:val="fr-FR" w:eastAsia="nl-BE"/>
              </w:rPr>
              <w:t>1:</w:t>
            </w:r>
            <w:r w:rsidR="00832A7C" w:rsidRPr="007F1538">
              <w:rPr>
                <w:rFonts w:cs="Arial"/>
                <w:lang w:val="fr-FR" w:eastAsia="nl-BE"/>
              </w:rPr>
              <w:tab/>
            </w:r>
            <w:r w:rsidR="003511DA" w:rsidRPr="003511DA">
              <w:rPr>
                <w:rFonts w:cs="Arial"/>
                <w:lang w:val="fr-FR" w:eastAsia="nl-BE"/>
              </w:rPr>
              <w:t>Les chiffres relatifs à l’emploi dans les fonctions critiques ou les autres fonctions n’existent pas au niveau sectoriel.</w:t>
            </w:r>
            <w:r w:rsidRPr="007F1538">
              <w:rPr>
                <w:rFonts w:cs="Arial"/>
                <w:lang w:val="fr-FR" w:eastAsia="nl-BE"/>
              </w:rPr>
              <w:t xml:space="preserve"> </w:t>
            </w:r>
            <w:r w:rsidR="003511DA" w:rsidRPr="003511DA">
              <w:rPr>
                <w:rFonts w:cs="Arial"/>
                <w:lang w:val="fr-FR" w:eastAsia="nl-BE"/>
              </w:rPr>
              <w:t>Les demandeurs d’emploi ont donc été répertoriés dans les fonctions critiques.</w:t>
            </w:r>
            <w:r w:rsidRPr="007F1538">
              <w:rPr>
                <w:rFonts w:cs="Arial"/>
                <w:lang w:val="fr-FR" w:eastAsia="nl-BE"/>
              </w:rPr>
              <w:t xml:space="preserve"> </w:t>
            </w:r>
          </w:p>
        </w:tc>
      </w:tr>
      <w:tr w:rsidR="00A73AD2" w:rsidRPr="007B0288" w:rsidTr="003511DA">
        <w:tc>
          <w:tcPr>
            <w:tcW w:w="13609" w:type="dxa"/>
            <w:gridSpan w:val="7"/>
            <w:tcBorders>
              <w:top w:val="nil"/>
              <w:left w:val="nil"/>
              <w:bottom w:val="nil"/>
              <w:right w:val="nil"/>
            </w:tcBorders>
            <w:noWrap/>
            <w:vAlign w:val="center"/>
          </w:tcPr>
          <w:p w:rsidR="00A73AD2" w:rsidRPr="007F1538" w:rsidRDefault="00A73AD2" w:rsidP="009F164E">
            <w:pPr>
              <w:ind w:left="305" w:hanging="305"/>
              <w:rPr>
                <w:rFonts w:cs="Arial"/>
                <w:lang w:val="fr-FR" w:eastAsia="nl-BE"/>
              </w:rPr>
            </w:pPr>
            <w:r w:rsidRPr="007F1538">
              <w:rPr>
                <w:rFonts w:cs="Arial"/>
                <w:lang w:val="fr-FR" w:eastAsia="nl-BE"/>
              </w:rPr>
              <w:t>2:</w:t>
            </w:r>
            <w:r w:rsidRPr="007F1538">
              <w:rPr>
                <w:rFonts w:cs="Arial"/>
                <w:lang w:val="fr-FR" w:eastAsia="nl-BE"/>
              </w:rPr>
              <w:tab/>
            </w:r>
            <w:r w:rsidR="003511DA" w:rsidRPr="003511DA">
              <w:rPr>
                <w:rFonts w:cs="Arial"/>
                <w:lang w:val="fr-FR" w:eastAsia="nl-BE"/>
              </w:rPr>
              <w:t xml:space="preserve">Données sur les </w:t>
            </w:r>
            <w:r w:rsidR="009F164E">
              <w:rPr>
                <w:rFonts w:cs="Arial"/>
                <w:lang w:val="fr-FR" w:eastAsia="nl-BE"/>
              </w:rPr>
              <w:t>individus</w:t>
            </w:r>
            <w:r w:rsidR="003511DA" w:rsidRPr="003511DA">
              <w:rPr>
                <w:rFonts w:cs="Arial"/>
                <w:lang w:val="fr-FR" w:eastAsia="nl-BE"/>
              </w:rPr>
              <w:t>.</w:t>
            </w:r>
            <w:r w:rsidRPr="007F1538">
              <w:rPr>
                <w:rFonts w:cs="Arial"/>
                <w:lang w:val="fr-FR" w:eastAsia="nl-BE"/>
              </w:rPr>
              <w:t xml:space="preserve"> </w:t>
            </w:r>
            <w:r w:rsidR="003511DA" w:rsidRPr="003511DA">
              <w:rPr>
                <w:rFonts w:cs="Arial"/>
                <w:lang w:val="fr-FR" w:eastAsia="nl-BE"/>
              </w:rPr>
              <w:t>Le nombre de participants est supérieur étant donné que certains travailleurs ont suivi plus d’une formation ou d’un module de formation.</w:t>
            </w:r>
          </w:p>
        </w:tc>
      </w:tr>
      <w:tr w:rsidR="00AF0F21" w:rsidRPr="007B0288" w:rsidTr="003511DA">
        <w:tc>
          <w:tcPr>
            <w:tcW w:w="13609" w:type="dxa"/>
            <w:gridSpan w:val="7"/>
            <w:tcBorders>
              <w:top w:val="nil"/>
              <w:left w:val="nil"/>
              <w:bottom w:val="nil"/>
              <w:right w:val="nil"/>
            </w:tcBorders>
            <w:noWrap/>
            <w:vAlign w:val="center"/>
          </w:tcPr>
          <w:p w:rsidR="00AF0F21" w:rsidRPr="007F1538" w:rsidRDefault="003A74BE" w:rsidP="0047563F">
            <w:pPr>
              <w:ind w:left="305" w:hanging="305"/>
              <w:rPr>
                <w:rFonts w:cs="Arial"/>
                <w:color w:val="000000"/>
                <w:lang w:val="fr-FR" w:eastAsia="nl-BE"/>
              </w:rPr>
            </w:pPr>
            <w:r w:rsidRPr="007F1538">
              <w:rPr>
                <w:rFonts w:cs="Arial"/>
                <w:color w:val="000000"/>
                <w:lang w:val="fr-FR" w:eastAsia="nl-BE"/>
              </w:rPr>
              <w:t>3</w:t>
            </w:r>
            <w:r w:rsidR="00AF0F21" w:rsidRPr="007F1538">
              <w:rPr>
                <w:rFonts w:cs="Arial"/>
                <w:color w:val="000000"/>
                <w:lang w:val="fr-FR" w:eastAsia="nl-BE"/>
              </w:rPr>
              <w:t>:</w:t>
            </w:r>
            <w:r w:rsidR="00AF0F21" w:rsidRPr="007F1538">
              <w:rPr>
                <w:rFonts w:cs="Arial"/>
                <w:color w:val="000000"/>
                <w:lang w:val="fr-FR" w:eastAsia="nl-BE"/>
              </w:rPr>
              <w:tab/>
            </w:r>
            <w:r w:rsidR="0047563F">
              <w:rPr>
                <w:rFonts w:cs="Arial"/>
                <w:color w:val="000000"/>
                <w:lang w:val="fr-FR" w:eastAsia="nl-BE"/>
              </w:rPr>
              <w:t>661</w:t>
            </w:r>
            <w:r w:rsidR="003511DA" w:rsidRPr="003511DA">
              <w:rPr>
                <w:rFonts w:cs="Arial"/>
                <w:color w:val="000000"/>
                <w:lang w:val="fr-FR" w:eastAsia="nl-BE"/>
              </w:rPr>
              <w:t xml:space="preserve"> demandeurs d’emploi dans toute la Belgique, dont 56 dans la Région flamande.</w:t>
            </w:r>
          </w:p>
        </w:tc>
      </w:tr>
      <w:tr w:rsidR="00A73AD2" w:rsidRPr="007B0288" w:rsidTr="003511DA">
        <w:tc>
          <w:tcPr>
            <w:tcW w:w="13609" w:type="dxa"/>
            <w:gridSpan w:val="7"/>
            <w:tcBorders>
              <w:top w:val="nil"/>
              <w:left w:val="nil"/>
              <w:bottom w:val="nil"/>
              <w:right w:val="nil"/>
            </w:tcBorders>
            <w:noWrap/>
            <w:vAlign w:val="center"/>
          </w:tcPr>
          <w:p w:rsidR="00A73AD2" w:rsidRPr="007F1538" w:rsidRDefault="003A74BE" w:rsidP="00690B4E">
            <w:pPr>
              <w:ind w:left="305" w:hanging="305"/>
              <w:rPr>
                <w:rFonts w:cs="Arial"/>
                <w:lang w:val="fr-FR" w:eastAsia="nl-BE"/>
              </w:rPr>
            </w:pPr>
            <w:r w:rsidRPr="007F1538">
              <w:rPr>
                <w:rFonts w:cs="Arial"/>
                <w:lang w:val="fr-FR" w:eastAsia="nl-BE"/>
              </w:rPr>
              <w:t>4</w:t>
            </w:r>
            <w:r w:rsidR="00A73AD2" w:rsidRPr="007F1538">
              <w:rPr>
                <w:rFonts w:cs="Arial"/>
                <w:lang w:val="fr-FR" w:eastAsia="nl-BE"/>
              </w:rPr>
              <w:t>:</w:t>
            </w:r>
            <w:r w:rsidR="00A73AD2" w:rsidRPr="007F1538">
              <w:rPr>
                <w:rFonts w:cs="Arial"/>
                <w:lang w:val="fr-FR" w:eastAsia="nl-BE"/>
              </w:rPr>
              <w:tab/>
            </w:r>
            <w:r w:rsidR="003511DA" w:rsidRPr="003511DA">
              <w:rPr>
                <w:rFonts w:cs="Arial"/>
                <w:color w:val="000000"/>
                <w:lang w:val="fr-FR" w:eastAsia="nl-BE"/>
              </w:rPr>
              <w:t>Chiffres 2008 basés sur le bilan social.</w:t>
            </w:r>
            <w:r w:rsidR="0082105A" w:rsidRPr="007F1538">
              <w:rPr>
                <w:rFonts w:cs="Arial"/>
                <w:color w:val="000000"/>
                <w:lang w:val="fr-FR" w:eastAsia="nl-BE"/>
              </w:rPr>
              <w:t xml:space="preserve"> </w:t>
            </w:r>
          </w:p>
        </w:tc>
      </w:tr>
    </w:tbl>
    <w:p w:rsidR="00A73AD2" w:rsidRPr="007F1538" w:rsidRDefault="00A73AD2">
      <w:pPr>
        <w:rPr>
          <w:rFonts w:cs="Arial"/>
          <w:b/>
          <w:bCs/>
          <w:lang w:val="fr-FR"/>
        </w:rPr>
      </w:pPr>
    </w:p>
    <w:p w:rsidR="00E51DDC" w:rsidRPr="007F1538" w:rsidRDefault="00E51DDC">
      <w:pPr>
        <w:rPr>
          <w:rFonts w:cs="Arial"/>
          <w:b/>
          <w:bCs/>
          <w:lang w:val="fr-FR"/>
        </w:rPr>
        <w:sectPr w:rsidR="00E51DDC" w:rsidRPr="007F1538" w:rsidSect="00313119">
          <w:pgSz w:w="16838" w:h="11906" w:orient="landscape"/>
          <w:pgMar w:top="1418" w:right="1418" w:bottom="1418" w:left="1418" w:header="709" w:footer="709" w:gutter="0"/>
          <w:cols w:space="720"/>
          <w:docGrid w:linePitch="360"/>
        </w:sectPr>
      </w:pPr>
    </w:p>
    <w:p w:rsidR="00A73AD2" w:rsidRPr="007F1538" w:rsidRDefault="003511DA" w:rsidP="003511DA">
      <w:pPr>
        <w:pStyle w:val="Heading2"/>
        <w:rPr>
          <w:lang w:val="fr-FR"/>
        </w:rPr>
      </w:pPr>
      <w:bookmarkStart w:id="134" w:name="_Toc267060144"/>
      <w:bookmarkStart w:id="135" w:name="_Toc269220698"/>
      <w:r w:rsidRPr="003511DA">
        <w:rPr>
          <w:lang w:val="fr-FR"/>
        </w:rPr>
        <w:lastRenderedPageBreak/>
        <w:t>Annexe 4. L’IFP et les accords sectoriels en matière de formation.</w:t>
      </w:r>
      <w:bookmarkEnd w:id="134"/>
      <w:bookmarkEnd w:id="135"/>
    </w:p>
    <w:p w:rsidR="00A73AD2" w:rsidRPr="007F1538" w:rsidRDefault="003511DA">
      <w:pPr>
        <w:rPr>
          <w:rFonts w:cs="Arial"/>
          <w:lang w:val="fr-FR"/>
        </w:rPr>
      </w:pPr>
      <w:r w:rsidRPr="003511DA">
        <w:rPr>
          <w:rFonts w:cs="Arial"/>
          <w:lang w:val="fr-FR"/>
        </w:rPr>
        <w:t>Les partenaires sociaux du secteur alimentaire ont conclu les accords généraux suivants concernant la formation de leurs ouvriers et employés pendant la période 2009-2010 :</w:t>
      </w:r>
    </w:p>
    <w:p w:rsidR="00A73AD2" w:rsidRPr="007F1538" w:rsidRDefault="00A73AD2">
      <w:pPr>
        <w:rPr>
          <w:rFonts w:cs="Arial"/>
          <w:lang w:val="fr-FR"/>
        </w:rPr>
      </w:pPr>
    </w:p>
    <w:p w:rsidR="00A73AD2" w:rsidRPr="007F1538" w:rsidRDefault="003511DA">
      <w:pPr>
        <w:autoSpaceDE w:val="0"/>
        <w:autoSpaceDN w:val="0"/>
        <w:adjustRightInd w:val="0"/>
        <w:ind w:left="708"/>
        <w:rPr>
          <w:rFonts w:cs="Arial"/>
          <w:lang w:val="fr-FR"/>
        </w:rPr>
      </w:pPr>
      <w:r w:rsidRPr="00AD6341">
        <w:rPr>
          <w:rFonts w:cs="Arial"/>
          <w:lang w:val="fr-FR"/>
        </w:rPr>
        <w:t>L’employeur est tenu d’organiser un volume de formations professionnelles pour les ouvriers et les employés équivalant sur une base annuelle à 1,00% du volume total du temps de travail presté de l’</w:t>
      </w:r>
      <w:r w:rsidR="00AD6341" w:rsidRPr="00AD6341">
        <w:rPr>
          <w:rFonts w:cs="Arial"/>
          <w:lang w:val="fr-FR"/>
        </w:rPr>
        <w:t>ensemble des ouvriers et employé</w:t>
      </w:r>
      <w:r w:rsidRPr="00AD6341">
        <w:rPr>
          <w:rFonts w:cs="Arial"/>
          <w:lang w:val="fr-FR"/>
        </w:rPr>
        <w:t>s de l’entreprise en 2009 et de 1,</w:t>
      </w:r>
      <w:r w:rsidR="009F164E">
        <w:rPr>
          <w:rFonts w:cs="Arial"/>
          <w:lang w:val="fr-FR"/>
        </w:rPr>
        <w:t>1</w:t>
      </w:r>
      <w:r w:rsidRPr="00AD6341">
        <w:rPr>
          <w:rFonts w:cs="Arial"/>
          <w:lang w:val="fr-FR"/>
        </w:rPr>
        <w:t>0% en 2010.</w:t>
      </w:r>
    </w:p>
    <w:p w:rsidR="00A73AD2" w:rsidRPr="007F1538" w:rsidRDefault="00A73AD2">
      <w:pPr>
        <w:autoSpaceDE w:val="0"/>
        <w:autoSpaceDN w:val="0"/>
        <w:adjustRightInd w:val="0"/>
        <w:ind w:left="708"/>
        <w:rPr>
          <w:rFonts w:cs="Arial"/>
          <w:lang w:val="fr-FR"/>
        </w:rPr>
      </w:pPr>
    </w:p>
    <w:p w:rsidR="00AF2816" w:rsidRPr="007F1538" w:rsidRDefault="003511DA" w:rsidP="00AF2816">
      <w:pPr>
        <w:autoSpaceDE w:val="0"/>
        <w:autoSpaceDN w:val="0"/>
        <w:adjustRightInd w:val="0"/>
        <w:rPr>
          <w:rFonts w:cs="Arial"/>
          <w:lang w:val="fr-FR"/>
        </w:rPr>
      </w:pPr>
      <w:r w:rsidRPr="003511DA">
        <w:rPr>
          <w:rFonts w:cs="Arial"/>
          <w:lang w:val="fr-FR"/>
        </w:rPr>
        <w:t xml:space="preserve">Pour les groupes à </w:t>
      </w:r>
      <w:r w:rsidR="00B67161">
        <w:rPr>
          <w:rFonts w:cs="Arial"/>
          <w:lang w:val="fr-FR"/>
        </w:rPr>
        <w:t>risque</w:t>
      </w:r>
      <w:r w:rsidRPr="003511DA">
        <w:rPr>
          <w:rFonts w:cs="Arial"/>
          <w:lang w:val="fr-FR"/>
        </w:rPr>
        <w:t>, il a été spécifiquement convenu :</w:t>
      </w:r>
    </w:p>
    <w:p w:rsidR="00AF2816" w:rsidRPr="007F1538" w:rsidRDefault="00AF2816">
      <w:pPr>
        <w:autoSpaceDE w:val="0"/>
        <w:autoSpaceDN w:val="0"/>
        <w:adjustRightInd w:val="0"/>
        <w:ind w:left="708"/>
        <w:rPr>
          <w:rFonts w:cs="Arial"/>
          <w:lang w:val="fr-FR"/>
        </w:rPr>
      </w:pPr>
    </w:p>
    <w:p w:rsidR="00A73AD2" w:rsidRPr="007F1538" w:rsidRDefault="003511DA">
      <w:pPr>
        <w:autoSpaceDE w:val="0"/>
        <w:autoSpaceDN w:val="0"/>
        <w:adjustRightInd w:val="0"/>
        <w:ind w:left="708"/>
        <w:rPr>
          <w:rFonts w:cs="Arial"/>
          <w:lang w:val="fr-FR"/>
        </w:rPr>
      </w:pPr>
      <w:r w:rsidRPr="003511DA">
        <w:rPr>
          <w:rFonts w:cs="Arial"/>
          <w:lang w:val="fr-FR"/>
        </w:rPr>
        <w:t>L’IFP affectera 0,20% des salaires bruts à la formation des travailleurs, demandeurs d’emploi ou apprentis industriels.</w:t>
      </w:r>
      <w:r w:rsidR="00A73AD2" w:rsidRPr="007F1538">
        <w:rPr>
          <w:rFonts w:cs="Arial"/>
          <w:lang w:val="fr-FR"/>
        </w:rPr>
        <w:t xml:space="preserve"> </w:t>
      </w:r>
      <w:r w:rsidRPr="003511DA">
        <w:rPr>
          <w:rFonts w:cs="Arial"/>
          <w:lang w:val="fr-FR"/>
        </w:rPr>
        <w:t xml:space="preserve">Trois quarts, à savoir 0,15%, des salaires bruts, seront consacrés par le secteur aux groupes à </w:t>
      </w:r>
      <w:r w:rsidR="00B67161">
        <w:rPr>
          <w:rFonts w:cs="Arial"/>
          <w:lang w:val="fr-FR"/>
        </w:rPr>
        <w:t>risque</w:t>
      </w:r>
      <w:r w:rsidRPr="003511DA">
        <w:rPr>
          <w:rFonts w:cs="Arial"/>
          <w:lang w:val="fr-FR"/>
        </w:rPr>
        <w:t>.</w:t>
      </w:r>
    </w:p>
    <w:p w:rsidR="00A73AD2" w:rsidRPr="007F1538" w:rsidRDefault="00A73AD2">
      <w:pPr>
        <w:autoSpaceDE w:val="0"/>
        <w:autoSpaceDN w:val="0"/>
        <w:adjustRightInd w:val="0"/>
        <w:ind w:left="708"/>
        <w:rPr>
          <w:rFonts w:cs="Arial"/>
          <w:lang w:val="fr-FR"/>
        </w:rPr>
      </w:pPr>
    </w:p>
    <w:p w:rsidR="00A73AD2" w:rsidRPr="007F1538" w:rsidRDefault="003511DA">
      <w:pPr>
        <w:autoSpaceDE w:val="0"/>
        <w:autoSpaceDN w:val="0"/>
        <w:adjustRightInd w:val="0"/>
        <w:ind w:left="708"/>
        <w:rPr>
          <w:rFonts w:cs="Arial"/>
          <w:lang w:val="fr-FR"/>
        </w:rPr>
      </w:pPr>
      <w:r w:rsidRPr="003511DA">
        <w:rPr>
          <w:rFonts w:cs="Arial"/>
          <w:lang w:val="fr-FR"/>
        </w:rPr>
        <w:t xml:space="preserve">Sont considérés comme groupes à </w:t>
      </w:r>
      <w:r w:rsidR="00B67161">
        <w:rPr>
          <w:rFonts w:cs="Arial"/>
          <w:lang w:val="fr-FR"/>
        </w:rPr>
        <w:t>risque</w:t>
      </w:r>
      <w:r w:rsidRPr="003511DA">
        <w:rPr>
          <w:rFonts w:cs="Arial"/>
          <w:lang w:val="fr-FR"/>
        </w:rPr>
        <w:t> :</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chômeurs en général et les chômeurs de moins de 30 ans en particulier</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travailleurs peu qualifiés</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travailleurs de plus de 50 ans</w:t>
      </w:r>
    </w:p>
    <w:p w:rsidR="00A73AD2" w:rsidRPr="007F1538" w:rsidRDefault="003511DA" w:rsidP="00686C44">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travailleurs menacés par une restructuration, un licenciement collectif ou une fermeture de l’entreprise qui les occupe</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travailleurs licenciés</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handicapés</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allochtones</w:t>
      </w:r>
    </w:p>
    <w:p w:rsidR="00A73AD2" w:rsidRPr="007F1538" w:rsidRDefault="003511DA">
      <w:pPr>
        <w:numPr>
          <w:ilvl w:val="0"/>
          <w:numId w:val="1"/>
        </w:numPr>
        <w:tabs>
          <w:tab w:val="clear" w:pos="360"/>
          <w:tab w:val="num" w:pos="1068"/>
        </w:tabs>
        <w:autoSpaceDE w:val="0"/>
        <w:autoSpaceDN w:val="0"/>
        <w:adjustRightInd w:val="0"/>
        <w:ind w:left="1068"/>
        <w:rPr>
          <w:rFonts w:cs="Arial"/>
          <w:lang w:val="fr-FR"/>
        </w:rPr>
      </w:pPr>
      <w:r w:rsidRPr="003511DA">
        <w:rPr>
          <w:rFonts w:cs="Arial"/>
          <w:lang w:val="fr-FR"/>
        </w:rPr>
        <w:t>Les élèves sous régime d’apprentissage industriel</w:t>
      </w:r>
    </w:p>
    <w:p w:rsidR="00A73AD2" w:rsidRPr="007F1538" w:rsidRDefault="00A73AD2">
      <w:pPr>
        <w:autoSpaceDE w:val="0"/>
        <w:autoSpaceDN w:val="0"/>
        <w:adjustRightInd w:val="0"/>
        <w:ind w:left="708"/>
        <w:rPr>
          <w:rFonts w:cs="Arial"/>
          <w:lang w:val="fr-FR"/>
        </w:rPr>
      </w:pPr>
    </w:p>
    <w:p w:rsidR="00A73AD2" w:rsidRPr="007F1538" w:rsidRDefault="003511DA">
      <w:pPr>
        <w:autoSpaceDE w:val="0"/>
        <w:autoSpaceDN w:val="0"/>
        <w:adjustRightInd w:val="0"/>
        <w:ind w:left="708"/>
        <w:rPr>
          <w:rFonts w:cs="Arial"/>
          <w:color w:val="000000"/>
          <w:lang w:val="fr-FR"/>
        </w:rPr>
      </w:pPr>
      <w:r w:rsidRPr="003511DA">
        <w:rPr>
          <w:rFonts w:cs="Arial"/>
          <w:color w:val="000000"/>
          <w:lang w:val="fr-FR"/>
        </w:rPr>
        <w:t>Etalé sur deux ans, le nombre d’élèves sous régime d’apprentissage industriel s’élèvera à au moins 200.</w:t>
      </w:r>
      <w:r w:rsidR="00A73AD2" w:rsidRPr="007F1538">
        <w:rPr>
          <w:rFonts w:cs="Arial"/>
          <w:color w:val="000000"/>
          <w:lang w:val="fr-FR"/>
        </w:rPr>
        <w:t xml:space="preserve"> </w:t>
      </w:r>
      <w:r w:rsidRPr="003511DA">
        <w:rPr>
          <w:rFonts w:cs="Arial"/>
          <w:color w:val="000000"/>
          <w:lang w:val="fr-FR"/>
        </w:rPr>
        <w:t xml:space="preserve">Le nombre de demandeurs d’emploi et d’actifs issus de groupes à </w:t>
      </w:r>
      <w:r w:rsidR="00B67161">
        <w:rPr>
          <w:rFonts w:cs="Arial"/>
          <w:color w:val="000000"/>
          <w:lang w:val="fr-FR"/>
        </w:rPr>
        <w:t>risque</w:t>
      </w:r>
      <w:r w:rsidRPr="003511DA">
        <w:rPr>
          <w:rFonts w:cs="Arial"/>
          <w:color w:val="000000"/>
          <w:lang w:val="fr-FR"/>
        </w:rPr>
        <w:t xml:space="preserve"> et bénéficiant d’une formation IFP sera égal à minimum 3.000 sur une base annuelle.</w:t>
      </w:r>
    </w:p>
    <w:p w:rsidR="00A73AD2" w:rsidRPr="007F1538" w:rsidRDefault="00A73AD2">
      <w:pPr>
        <w:autoSpaceDE w:val="0"/>
        <w:autoSpaceDN w:val="0"/>
        <w:adjustRightInd w:val="0"/>
        <w:rPr>
          <w:rFonts w:cs="Arial"/>
          <w:highlight w:val="yellow"/>
          <w:lang w:val="fr-FR"/>
        </w:rPr>
      </w:pPr>
    </w:p>
    <w:p w:rsidR="00A73AD2" w:rsidRPr="007F1538" w:rsidRDefault="003511DA">
      <w:pPr>
        <w:autoSpaceDE w:val="0"/>
        <w:autoSpaceDN w:val="0"/>
        <w:adjustRightInd w:val="0"/>
        <w:rPr>
          <w:rFonts w:cs="Arial"/>
          <w:lang w:val="fr-FR"/>
        </w:rPr>
      </w:pPr>
      <w:r w:rsidRPr="003511DA">
        <w:rPr>
          <w:rFonts w:cs="Arial"/>
          <w:lang w:val="fr-FR"/>
        </w:rPr>
        <w:t>En 2009, l</w:t>
      </w:r>
      <w:r w:rsidR="00460672">
        <w:rPr>
          <w:rFonts w:cs="Arial"/>
          <w:lang w:val="fr-FR"/>
        </w:rPr>
        <w:t>e secteur a presque affecté 0,19</w:t>
      </w:r>
      <w:r w:rsidRPr="003511DA">
        <w:rPr>
          <w:rFonts w:cs="Arial"/>
          <w:lang w:val="fr-FR"/>
        </w:rPr>
        <w:t xml:space="preserve">% de la masse salariale à des initiatives de formation pour groupes à </w:t>
      </w:r>
      <w:r w:rsidR="00B67161">
        <w:rPr>
          <w:rFonts w:cs="Arial"/>
          <w:lang w:val="fr-FR"/>
        </w:rPr>
        <w:t>risque</w:t>
      </w:r>
      <w:r w:rsidRPr="003511DA">
        <w:rPr>
          <w:rFonts w:cs="Arial"/>
          <w:lang w:val="fr-FR"/>
        </w:rPr>
        <w:t>.</w:t>
      </w:r>
      <w:r w:rsidR="009B0E63" w:rsidRPr="007F1538">
        <w:rPr>
          <w:rFonts w:cs="Arial"/>
          <w:lang w:val="fr-FR"/>
        </w:rPr>
        <w:t xml:space="preserve"> </w:t>
      </w:r>
    </w:p>
    <w:p w:rsidR="00A55273" w:rsidRPr="007F1538" w:rsidRDefault="00A55273">
      <w:pPr>
        <w:autoSpaceDE w:val="0"/>
        <w:autoSpaceDN w:val="0"/>
        <w:adjustRightInd w:val="0"/>
        <w:rPr>
          <w:rFonts w:cs="Arial"/>
          <w:lang w:val="fr-FR"/>
        </w:rPr>
      </w:pPr>
    </w:p>
    <w:p w:rsidR="00A73AD2" w:rsidRPr="007F1538" w:rsidRDefault="003511DA">
      <w:pPr>
        <w:autoSpaceDE w:val="0"/>
        <w:autoSpaceDN w:val="0"/>
        <w:adjustRightInd w:val="0"/>
        <w:rPr>
          <w:rFonts w:cs="Arial"/>
          <w:lang w:val="fr-FR"/>
        </w:rPr>
      </w:pPr>
      <w:r w:rsidRPr="003511DA">
        <w:rPr>
          <w:rFonts w:cs="Arial"/>
          <w:lang w:val="fr-FR"/>
        </w:rPr>
        <w:t>Le nombre d’élèves sous régime d’apprentissage industriel s’élevait en 2009 à exactement 110.</w:t>
      </w:r>
      <w:r w:rsidR="008430D8" w:rsidRPr="003511DA">
        <w:rPr>
          <w:rFonts w:cs="Arial"/>
          <w:lang w:val="fr-FR"/>
        </w:rPr>
        <w:t xml:space="preserve"> </w:t>
      </w:r>
      <w:r w:rsidRPr="003511DA">
        <w:rPr>
          <w:rFonts w:cs="Arial"/>
          <w:lang w:val="fr-FR"/>
        </w:rPr>
        <w:t>Le nombre de demandeurs d’emploi formés par l’IFP en collaboration avec ses partenaires se monte à 2.</w:t>
      </w:r>
      <w:r w:rsidR="00460672">
        <w:rPr>
          <w:rFonts w:cs="Arial"/>
          <w:lang w:val="fr-FR"/>
        </w:rPr>
        <w:t>331</w:t>
      </w:r>
      <w:r w:rsidRPr="003511DA">
        <w:rPr>
          <w:rFonts w:cs="Arial"/>
          <w:lang w:val="fr-FR"/>
        </w:rPr>
        <w:t>.Le nombre de travailleurs peu qualifiés et/ou âgés formés par l’IFP en collaboration avec ses partenaires était de 5.168.</w:t>
      </w:r>
      <w:r w:rsidR="00B67161">
        <w:rPr>
          <w:rFonts w:cs="Arial"/>
          <w:lang w:val="fr-FR"/>
        </w:rPr>
        <w:t xml:space="preserve"> </w:t>
      </w:r>
      <w:r w:rsidRPr="003511DA">
        <w:rPr>
          <w:rFonts w:cs="Arial"/>
          <w:lang w:val="fr-FR"/>
        </w:rPr>
        <w:t>Toutes catégories confondues (apprentis, demandeurs d’emploi, travailleurs peu qualifiés et/ou âgés), on obtient donc un total de minimum 7.</w:t>
      </w:r>
      <w:r w:rsidR="00460672">
        <w:rPr>
          <w:rFonts w:cs="Arial"/>
          <w:lang w:val="fr-FR"/>
        </w:rPr>
        <w:t>609</w:t>
      </w:r>
      <w:r w:rsidRPr="003511DA">
        <w:rPr>
          <w:rFonts w:cs="Arial"/>
          <w:lang w:val="fr-FR"/>
        </w:rPr>
        <w:t xml:space="preserve"> personnes pour l’année 2009.</w:t>
      </w:r>
    </w:p>
    <w:p w:rsidR="00A73AD2" w:rsidRPr="007F1538" w:rsidRDefault="00A73AD2">
      <w:pPr>
        <w:autoSpaceDE w:val="0"/>
        <w:autoSpaceDN w:val="0"/>
        <w:adjustRightInd w:val="0"/>
        <w:rPr>
          <w:rFonts w:cs="Arial"/>
          <w:lang w:val="fr-FR"/>
        </w:rPr>
      </w:pPr>
    </w:p>
    <w:p w:rsidR="00BA7DC5" w:rsidRPr="007F1538" w:rsidRDefault="003511DA" w:rsidP="00AB3928">
      <w:pPr>
        <w:autoSpaceDE w:val="0"/>
        <w:autoSpaceDN w:val="0"/>
        <w:adjustRightInd w:val="0"/>
        <w:rPr>
          <w:rFonts w:cs="Arial"/>
          <w:lang w:val="fr-FR"/>
        </w:rPr>
      </w:pPr>
      <w:r w:rsidRPr="003511DA">
        <w:rPr>
          <w:rFonts w:cs="Arial"/>
          <w:lang w:val="fr-FR"/>
        </w:rPr>
        <w:t>Ce total ne prend pas en compte les chiffres relatifs aux allochtones.</w:t>
      </w:r>
      <w:r w:rsidR="00A73AD2" w:rsidRPr="007F1538">
        <w:rPr>
          <w:rFonts w:cs="Arial"/>
          <w:lang w:val="fr-FR"/>
        </w:rPr>
        <w:t xml:space="preserve"> </w:t>
      </w:r>
      <w:r w:rsidRPr="003511DA">
        <w:rPr>
          <w:rFonts w:cs="Arial"/>
          <w:lang w:val="fr-FR"/>
        </w:rPr>
        <w:t>Bien que l’expérience nous montre que la quote-part des allochtones dans les projets de formation IFP soit substantielle, aucune donnée exacte n’est disponible en la matière.</w:t>
      </w:r>
    </w:p>
    <w:p w:rsidR="00BA7DC5" w:rsidRPr="007F1538" w:rsidRDefault="00BA7DC5">
      <w:pPr>
        <w:rPr>
          <w:rFonts w:cs="Arial"/>
          <w:lang w:val="fr-FR"/>
        </w:rPr>
      </w:pPr>
    </w:p>
    <w:sectPr w:rsidR="00BA7DC5" w:rsidRPr="007F1538" w:rsidSect="00313119">
      <w:footnotePr>
        <w:numStart w:val="5"/>
      </w:footnotePr>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6CE" w:rsidRDefault="00C516CE">
      <w:r>
        <w:separator/>
      </w:r>
    </w:p>
  </w:endnote>
  <w:endnote w:type="continuationSeparator" w:id="0">
    <w:p w:rsidR="00C516CE" w:rsidRDefault="00C51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CE" w:rsidRDefault="00C516CE" w:rsidP="00DD6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16CE" w:rsidRDefault="00C516CE" w:rsidP="00C51C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CE" w:rsidRDefault="00C516CE" w:rsidP="00DD6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A8D">
      <w:rPr>
        <w:rStyle w:val="PageNumber"/>
        <w:noProof/>
      </w:rPr>
      <w:t>38</w:t>
    </w:r>
    <w:r>
      <w:rPr>
        <w:rStyle w:val="PageNumber"/>
      </w:rPr>
      <w:fldChar w:fldCharType="end"/>
    </w:r>
  </w:p>
  <w:p w:rsidR="00C516CE" w:rsidRDefault="00C516CE" w:rsidP="00C51CE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CE" w:rsidRDefault="00C51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6CE" w:rsidRDefault="00C516CE">
      <w:r>
        <w:separator/>
      </w:r>
    </w:p>
  </w:footnote>
  <w:footnote w:type="continuationSeparator" w:id="0">
    <w:p w:rsidR="00C516CE" w:rsidRDefault="00C516CE">
      <w:r>
        <w:continuationSeparator/>
      </w:r>
    </w:p>
  </w:footnote>
  <w:footnote w:id="1">
    <w:p w:rsidR="00C516CE" w:rsidRPr="00FC3C3F" w:rsidRDefault="00C516CE" w:rsidP="001A0286">
      <w:pPr>
        <w:pStyle w:val="FootnoteText"/>
        <w:rPr>
          <w:rFonts w:cs="Arial"/>
          <w:sz w:val="16"/>
          <w:szCs w:val="16"/>
          <w:lang w:val="fr-FR"/>
        </w:rPr>
      </w:pPr>
      <w:r w:rsidRPr="00FC3C3F">
        <w:rPr>
          <w:rStyle w:val="FootnoteReference"/>
          <w:lang w:val="fr-FR"/>
        </w:rPr>
        <w:footnoteRef/>
      </w:r>
      <w:r w:rsidRPr="00FC3C3F">
        <w:rPr>
          <w:lang w:val="fr-FR"/>
        </w:rPr>
        <w:t xml:space="preserve"> </w:t>
      </w:r>
      <w:r w:rsidRPr="00FC3C3F">
        <w:rPr>
          <w:rFonts w:cs="Arial"/>
          <w:sz w:val="16"/>
          <w:szCs w:val="16"/>
          <w:lang w:val="fr-FR"/>
        </w:rPr>
        <w:t xml:space="preserve">Ce pourcentage tient uniquement compte des formations pour les groupes à </w:t>
      </w:r>
      <w:r>
        <w:rPr>
          <w:rFonts w:cs="Arial"/>
          <w:sz w:val="16"/>
          <w:szCs w:val="16"/>
          <w:lang w:val="fr-FR"/>
        </w:rPr>
        <w:t>risque</w:t>
      </w:r>
      <w:r w:rsidRPr="00FC3C3F">
        <w:rPr>
          <w:rFonts w:cs="Arial"/>
          <w:sz w:val="16"/>
          <w:szCs w:val="16"/>
          <w:lang w:val="fr-FR"/>
        </w:rPr>
        <w:t xml:space="preserve"> qui sont organisées via l’IFP. En outre, seules les formations pour les personnes peu scolarisées et/ou âgées sont prises en compte, et non p.ex. </w:t>
      </w:r>
      <w:r>
        <w:rPr>
          <w:rFonts w:cs="Arial"/>
          <w:sz w:val="16"/>
          <w:szCs w:val="16"/>
          <w:lang w:val="fr-FR"/>
        </w:rPr>
        <w:t xml:space="preserve">les formations </w:t>
      </w:r>
      <w:r w:rsidRPr="00FC3C3F">
        <w:rPr>
          <w:rFonts w:cs="Arial"/>
          <w:sz w:val="16"/>
          <w:szCs w:val="16"/>
          <w:lang w:val="fr-FR"/>
        </w:rPr>
        <w:t>pour les allochtones.</w:t>
      </w:r>
    </w:p>
    <w:p w:rsidR="00C516CE" w:rsidRPr="00FC3C3F" w:rsidRDefault="00C516CE" w:rsidP="001A0286">
      <w:pPr>
        <w:pStyle w:val="FootnoteText"/>
        <w:rPr>
          <w:b/>
          <w:szCs w:val="24"/>
          <w:lang w:val="fr-FR" w:eastAsia="pl-PL"/>
        </w:rPr>
      </w:pPr>
      <w:r w:rsidRPr="00FC3C3F">
        <w:rPr>
          <w:rFonts w:cs="Arial"/>
          <w:sz w:val="16"/>
          <w:szCs w:val="16"/>
          <w:lang w:val="fr-FR"/>
        </w:rPr>
        <w:t xml:space="preserve">En réalité, les dépenses </w:t>
      </w:r>
      <w:r>
        <w:rPr>
          <w:rFonts w:cs="Arial"/>
          <w:sz w:val="16"/>
          <w:szCs w:val="16"/>
          <w:lang w:val="fr-FR"/>
        </w:rPr>
        <w:t xml:space="preserve">pour </w:t>
      </w:r>
      <w:r w:rsidRPr="00FC3C3F">
        <w:rPr>
          <w:rFonts w:cs="Arial"/>
          <w:sz w:val="16"/>
          <w:szCs w:val="16"/>
          <w:lang w:val="fr-FR"/>
        </w:rPr>
        <w:t xml:space="preserve">la formation des groupes à </w:t>
      </w:r>
      <w:r>
        <w:rPr>
          <w:rFonts w:cs="Arial"/>
          <w:sz w:val="16"/>
          <w:szCs w:val="16"/>
          <w:lang w:val="fr-FR"/>
        </w:rPr>
        <w:t>risque</w:t>
      </w:r>
      <w:r w:rsidRPr="00FC3C3F">
        <w:rPr>
          <w:rFonts w:cs="Arial"/>
          <w:sz w:val="16"/>
          <w:szCs w:val="16"/>
          <w:lang w:val="fr-FR"/>
        </w:rPr>
        <w:t xml:space="preserve"> </w:t>
      </w:r>
      <w:r>
        <w:rPr>
          <w:rFonts w:cs="Arial"/>
          <w:sz w:val="16"/>
          <w:szCs w:val="16"/>
          <w:lang w:val="fr-FR"/>
        </w:rPr>
        <w:t>sont</w:t>
      </w:r>
      <w:r w:rsidRPr="00FC3C3F">
        <w:rPr>
          <w:rFonts w:cs="Arial"/>
          <w:sz w:val="16"/>
          <w:szCs w:val="16"/>
          <w:lang w:val="fr-FR"/>
        </w:rPr>
        <w:t xml:space="preserve"> donc plus </w:t>
      </w:r>
      <w:r>
        <w:rPr>
          <w:rFonts w:cs="Arial"/>
          <w:sz w:val="16"/>
          <w:szCs w:val="16"/>
          <w:lang w:val="fr-FR"/>
        </w:rPr>
        <w:t>élevées</w:t>
      </w:r>
      <w:r w:rsidRPr="00FC3C3F">
        <w:rPr>
          <w:rFonts w:cs="Arial"/>
          <w:sz w:val="16"/>
          <w:szCs w:val="16"/>
          <w:lang w:val="fr-FR"/>
        </w:rPr>
        <w:t>. Voir également annexe 4.</w:t>
      </w:r>
    </w:p>
  </w:footnote>
  <w:footnote w:id="2">
    <w:p w:rsidR="00C516CE" w:rsidRPr="00FC3C3F" w:rsidRDefault="00C516CE" w:rsidP="007F1538">
      <w:pPr>
        <w:pStyle w:val="FootnoteText"/>
        <w:rPr>
          <w:rFonts w:cs="Arial"/>
          <w:sz w:val="16"/>
          <w:szCs w:val="16"/>
          <w:lang w:val="fr-FR"/>
        </w:rPr>
      </w:pPr>
      <w:r w:rsidRPr="00FC3C3F">
        <w:rPr>
          <w:rFonts w:cs="Arial"/>
          <w:sz w:val="16"/>
          <w:szCs w:val="16"/>
          <w:lang w:val="fr-FR"/>
        </w:rPr>
        <w:footnoteRef/>
      </w:r>
      <w:r w:rsidRPr="00FC3C3F">
        <w:rPr>
          <w:rFonts w:cs="Arial"/>
          <w:sz w:val="16"/>
          <w:szCs w:val="16"/>
          <w:lang w:val="fr-FR"/>
        </w:rPr>
        <w:t xml:space="preserve"> Voir note en bas de page 1</w:t>
      </w:r>
    </w:p>
  </w:footnote>
  <w:footnote w:id="3">
    <w:p w:rsidR="00C516CE" w:rsidRPr="00FC3C3F" w:rsidRDefault="00C516CE" w:rsidP="005F508E">
      <w:pPr>
        <w:pStyle w:val="FootnoteText"/>
        <w:rPr>
          <w:lang w:val="fr-FR"/>
        </w:rPr>
      </w:pPr>
      <w:r w:rsidRPr="00FC3C3F">
        <w:rPr>
          <w:rStyle w:val="FootnoteReference"/>
          <w:lang w:val="fr-FR"/>
        </w:rPr>
        <w:footnoteRef/>
      </w:r>
      <w:r w:rsidRPr="00FC3C3F">
        <w:rPr>
          <w:lang w:val="fr-FR"/>
        </w:rPr>
        <w:t xml:space="preserve"> </w:t>
      </w:r>
      <w:r w:rsidRPr="00FC3C3F">
        <w:rPr>
          <w:sz w:val="16"/>
          <w:lang w:val="fr-FR"/>
        </w:rPr>
        <w:t xml:space="preserve">Il s’agit des opérateurs publics de l’emploi tels que le VDAB et le Forem, mais aussi des organismes privés tels que </w:t>
      </w:r>
      <w:r w:rsidRPr="00FC3C3F">
        <w:rPr>
          <w:sz w:val="16"/>
          <w:szCs w:val="16"/>
          <w:lang w:val="fr-FR"/>
        </w:rPr>
        <w:t>Job&amp;co ou Agora (en Flandre), et encore, de diverses EFT</w:t>
      </w:r>
      <w:r>
        <w:rPr>
          <w:sz w:val="16"/>
          <w:szCs w:val="16"/>
          <w:lang w:val="fr-FR"/>
        </w:rPr>
        <w:t xml:space="preserve"> </w:t>
      </w:r>
      <w:r w:rsidRPr="00FC3C3F">
        <w:rPr>
          <w:sz w:val="16"/>
          <w:szCs w:val="16"/>
          <w:lang w:val="fr-FR"/>
        </w:rPr>
        <w:t>(Entreprise de Format</w:t>
      </w:r>
      <w:r>
        <w:rPr>
          <w:sz w:val="16"/>
          <w:szCs w:val="16"/>
          <w:lang w:val="fr-FR"/>
        </w:rPr>
        <w:t>ion par le Travail) en Wallonie</w:t>
      </w:r>
    </w:p>
  </w:footnote>
  <w:footnote w:id="4">
    <w:p w:rsidR="00C516CE" w:rsidRPr="000E1E00" w:rsidRDefault="00C516CE">
      <w:pPr>
        <w:pStyle w:val="FootnoteText"/>
        <w:rPr>
          <w:lang w:val="fr-BE"/>
        </w:rPr>
      </w:pPr>
      <w:r>
        <w:rPr>
          <w:rStyle w:val="FootnoteReference"/>
        </w:rPr>
        <w:footnoteRef/>
      </w:r>
      <w:r w:rsidRPr="000E1E00">
        <w:rPr>
          <w:lang w:val="fr-BE"/>
        </w:rPr>
        <w:t xml:space="preserve"> </w:t>
      </w:r>
      <w:r>
        <w:rPr>
          <w:lang w:val="fr-BE"/>
        </w:rPr>
        <w:t>Certificat d’Enseignement Secondaire Inférieur</w:t>
      </w:r>
    </w:p>
  </w:footnote>
  <w:footnote w:id="5">
    <w:p w:rsidR="00C516CE" w:rsidRPr="000E1E00" w:rsidRDefault="00C516CE">
      <w:pPr>
        <w:pStyle w:val="FootnoteText"/>
        <w:rPr>
          <w:lang w:val="fr-BE"/>
        </w:rPr>
      </w:pPr>
      <w:r>
        <w:rPr>
          <w:rStyle w:val="FootnoteReference"/>
        </w:rPr>
        <w:footnoteRef/>
      </w:r>
      <w:r w:rsidRPr="000E1E00">
        <w:rPr>
          <w:lang w:val="fr-BE"/>
        </w:rPr>
        <w:t xml:space="preserve"> </w:t>
      </w:r>
      <w:r>
        <w:rPr>
          <w:lang w:val="fr-BE"/>
        </w:rPr>
        <w:t>Certificat d’Enseignement Secondaire Supérieur</w:t>
      </w:r>
    </w:p>
  </w:footnote>
  <w:footnote w:id="6">
    <w:p w:rsidR="00C516CE" w:rsidRPr="00FC3C3F" w:rsidRDefault="00C516CE" w:rsidP="00DE6389">
      <w:pPr>
        <w:pStyle w:val="FootnoteText"/>
        <w:rPr>
          <w:lang w:val="fr-FR"/>
        </w:rPr>
      </w:pPr>
      <w:r w:rsidRPr="00FC3C3F">
        <w:rPr>
          <w:rStyle w:val="FootnoteReference"/>
          <w:lang w:val="fr-FR"/>
        </w:rPr>
        <w:footnoteRef/>
      </w:r>
      <w:r w:rsidRPr="00FC3C3F">
        <w:rPr>
          <w:lang w:val="fr-FR"/>
        </w:rPr>
        <w:t xml:space="preserve"> Les exigences d’agrément </w:t>
      </w:r>
      <w:r>
        <w:rPr>
          <w:lang w:val="fr-FR"/>
        </w:rPr>
        <w:t>pour les organismes de formation consistent en l’obtention du label Qfor Food et dans la conclusion d’un contrat avec l’IFP.</w:t>
      </w:r>
    </w:p>
  </w:footnote>
  <w:footnote w:id="7">
    <w:p w:rsidR="00C516CE" w:rsidRPr="008712DD" w:rsidRDefault="00C516CE">
      <w:pPr>
        <w:pStyle w:val="FootnoteText"/>
        <w:rPr>
          <w:lang w:val="fr-BE"/>
        </w:rPr>
      </w:pPr>
      <w:r>
        <w:rPr>
          <w:rStyle w:val="FootnoteReference"/>
        </w:rPr>
        <w:footnoteRef/>
      </w:r>
      <w:r w:rsidRPr="008712DD">
        <w:rPr>
          <w:lang w:val="fr-BE"/>
        </w:rPr>
        <w:t xml:space="preserve"> </w:t>
      </w:r>
      <w:r>
        <w:rPr>
          <w:lang w:val="fr-BE"/>
        </w:rPr>
        <w:t>Travailler aux compétences de base dans les ateliers</w:t>
      </w:r>
    </w:p>
  </w:footnote>
  <w:footnote w:id="8">
    <w:p w:rsidR="00C516CE" w:rsidRPr="00FC3C3F" w:rsidRDefault="00C516CE" w:rsidP="00726EC7">
      <w:pPr>
        <w:pStyle w:val="FootnoteText"/>
        <w:rPr>
          <w:rFonts w:cs="Arial"/>
          <w:sz w:val="18"/>
          <w:szCs w:val="18"/>
          <w:lang w:val="fr-FR"/>
        </w:rPr>
      </w:pPr>
      <w:r w:rsidRPr="00FC3C3F">
        <w:rPr>
          <w:rStyle w:val="FootnoteReference"/>
          <w:rFonts w:cs="Arial"/>
          <w:sz w:val="18"/>
          <w:szCs w:val="18"/>
          <w:lang w:val="fr-FR"/>
        </w:rPr>
        <w:footnoteRef/>
      </w:r>
      <w:r w:rsidRPr="00FC3C3F">
        <w:rPr>
          <w:rFonts w:cs="Arial"/>
          <w:sz w:val="18"/>
          <w:szCs w:val="18"/>
          <w:lang w:val="fr-FR"/>
        </w:rPr>
        <w:t xml:space="preserve"> </w:t>
      </w:r>
      <w:r w:rsidRPr="00362540">
        <w:rPr>
          <w:rFonts w:cs="Arial"/>
          <w:sz w:val="18"/>
          <w:szCs w:val="18"/>
          <w:lang w:val="fr-FR"/>
        </w:rPr>
        <w:t>Toutes les données chiffrées du présent chapitre ont été fournies par le Conseil Central de l’Economie (CCE), avec nos remerciements à M. J.-P. Tillieux</w:t>
      </w:r>
      <w:r w:rsidRPr="00FC3C3F">
        <w:rPr>
          <w:rFonts w:cs="Arial"/>
          <w:sz w:val="18"/>
          <w:szCs w:val="18"/>
          <w:lang w:val="fr-FR"/>
        </w:rPr>
        <w:t xml:space="preserve">. </w:t>
      </w:r>
      <w:r>
        <w:rPr>
          <w:rFonts w:cs="Arial"/>
          <w:sz w:val="18"/>
          <w:szCs w:val="18"/>
          <w:lang w:val="fr-FR"/>
        </w:rPr>
        <w:t>Il s’agit des données de l’année 2007. Les données pour 2008 n’étaient pas encore disponibles lors de la rédaction du présent rapport annuel</w:t>
      </w:r>
      <w:r w:rsidRPr="00FC3C3F">
        <w:rPr>
          <w:rFonts w:cs="Arial"/>
          <w:sz w:val="18"/>
          <w:szCs w:val="18"/>
          <w:lang w:val="fr-FR"/>
        </w:rPr>
        <w:t>.</w:t>
      </w:r>
    </w:p>
  </w:footnote>
  <w:footnote w:id="9">
    <w:p w:rsidR="00C516CE" w:rsidRDefault="00C516CE">
      <w:pPr>
        <w:pStyle w:val="FootnoteText"/>
      </w:pPr>
      <w:r>
        <w:rPr>
          <w:rStyle w:val="FootnoteReference"/>
        </w:rPr>
        <w:footnoteRef/>
      </w:r>
      <w:r>
        <w:t xml:space="preserve"> Enseignement Secondaire Supérieur (ESS)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CE" w:rsidRDefault="00C516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CE" w:rsidRDefault="00C516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CE" w:rsidRDefault="00C516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abstractNum w:abstractNumId="0">
    <w:nsid w:val="FFFFFF7C"/>
    <w:multiLevelType w:val="singleLevel"/>
    <w:tmpl w:val="9D704260"/>
    <w:lvl w:ilvl="0">
      <w:start w:val="1"/>
      <w:numFmt w:val="decimal"/>
      <w:lvlText w:val="%1."/>
      <w:lvlJc w:val="left"/>
      <w:pPr>
        <w:tabs>
          <w:tab w:val="num" w:pos="1492"/>
        </w:tabs>
        <w:ind w:left="1492" w:hanging="360"/>
      </w:pPr>
    </w:lvl>
  </w:abstractNum>
  <w:abstractNum w:abstractNumId="1">
    <w:nsid w:val="FFFFFF7D"/>
    <w:multiLevelType w:val="singleLevel"/>
    <w:tmpl w:val="65C46768"/>
    <w:lvl w:ilvl="0">
      <w:start w:val="1"/>
      <w:numFmt w:val="decimal"/>
      <w:lvlText w:val="%1."/>
      <w:lvlJc w:val="left"/>
      <w:pPr>
        <w:tabs>
          <w:tab w:val="num" w:pos="1209"/>
        </w:tabs>
        <w:ind w:left="1209" w:hanging="360"/>
      </w:pPr>
    </w:lvl>
  </w:abstractNum>
  <w:abstractNum w:abstractNumId="2">
    <w:nsid w:val="FFFFFF7E"/>
    <w:multiLevelType w:val="singleLevel"/>
    <w:tmpl w:val="1AE2C2FA"/>
    <w:lvl w:ilvl="0">
      <w:start w:val="1"/>
      <w:numFmt w:val="decimal"/>
      <w:lvlText w:val="%1."/>
      <w:lvlJc w:val="left"/>
      <w:pPr>
        <w:tabs>
          <w:tab w:val="num" w:pos="926"/>
        </w:tabs>
        <w:ind w:left="926" w:hanging="360"/>
      </w:pPr>
    </w:lvl>
  </w:abstractNum>
  <w:abstractNum w:abstractNumId="3">
    <w:nsid w:val="FFFFFF7F"/>
    <w:multiLevelType w:val="singleLevel"/>
    <w:tmpl w:val="083057FE"/>
    <w:lvl w:ilvl="0">
      <w:start w:val="1"/>
      <w:numFmt w:val="decimal"/>
      <w:lvlText w:val="%1."/>
      <w:lvlJc w:val="left"/>
      <w:pPr>
        <w:tabs>
          <w:tab w:val="num" w:pos="643"/>
        </w:tabs>
        <w:ind w:left="643" w:hanging="360"/>
      </w:pPr>
    </w:lvl>
  </w:abstractNum>
  <w:abstractNum w:abstractNumId="4">
    <w:nsid w:val="FFFFFF80"/>
    <w:multiLevelType w:val="singleLevel"/>
    <w:tmpl w:val="C76AB3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B24B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8865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604D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C524D3A"/>
    <w:lvl w:ilvl="0">
      <w:start w:val="1"/>
      <w:numFmt w:val="decimal"/>
      <w:lvlText w:val="%1."/>
      <w:lvlJc w:val="left"/>
      <w:pPr>
        <w:tabs>
          <w:tab w:val="num" w:pos="360"/>
        </w:tabs>
        <w:ind w:left="360" w:hanging="360"/>
      </w:pPr>
    </w:lvl>
  </w:abstractNum>
  <w:abstractNum w:abstractNumId="9">
    <w:nsid w:val="FFFFFF89"/>
    <w:multiLevelType w:val="singleLevel"/>
    <w:tmpl w:val="2110DC82"/>
    <w:lvl w:ilvl="0">
      <w:start w:val="1"/>
      <w:numFmt w:val="bullet"/>
      <w:lvlText w:val=""/>
      <w:lvlJc w:val="left"/>
      <w:pPr>
        <w:tabs>
          <w:tab w:val="num" w:pos="360"/>
        </w:tabs>
        <w:ind w:left="360" w:hanging="360"/>
      </w:pPr>
      <w:rPr>
        <w:rFonts w:ascii="Symbol" w:hAnsi="Symbol" w:hint="default"/>
      </w:rPr>
    </w:lvl>
  </w:abstractNum>
  <w:abstractNum w:abstractNumId="10">
    <w:nsid w:val="027319F2"/>
    <w:multiLevelType w:val="multilevel"/>
    <w:tmpl w:val="4E0A41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94"/>
        </w:tabs>
        <w:ind w:left="794" w:hanging="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47E0DAC"/>
    <w:multiLevelType w:val="multilevel"/>
    <w:tmpl w:val="6B4CCE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07405773"/>
    <w:multiLevelType w:val="multilevel"/>
    <w:tmpl w:val="F1EEEF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7"/>
        </w:tabs>
        <w:ind w:left="907" w:hanging="62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93609A4"/>
    <w:multiLevelType w:val="multilevel"/>
    <w:tmpl w:val="2836F0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A99404A"/>
    <w:multiLevelType w:val="multilevel"/>
    <w:tmpl w:val="2DFA2BC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510"/>
        </w:tabs>
        <w:ind w:left="510" w:hanging="51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D2C002C"/>
    <w:multiLevelType w:val="hybridMultilevel"/>
    <w:tmpl w:val="7B46BEBA"/>
    <w:lvl w:ilvl="0" w:tplc="F1E22E2A">
      <w:start w:val="10"/>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150C34D1"/>
    <w:multiLevelType w:val="multilevel"/>
    <w:tmpl w:val="24F8CB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7"/>
        </w:tabs>
        <w:ind w:left="907" w:hanging="62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50E66B4"/>
    <w:multiLevelType w:val="multilevel"/>
    <w:tmpl w:val="EBB086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7"/>
        </w:tabs>
        <w:ind w:left="907" w:hanging="62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005210F"/>
    <w:multiLevelType w:val="hybridMultilevel"/>
    <w:tmpl w:val="38DEF6E0"/>
    <w:lvl w:ilvl="0" w:tplc="204C4EAA">
      <w:start w:val="1"/>
      <w:numFmt w:val="decimal"/>
      <w:lvlText w:val="%1."/>
      <w:lvlJc w:val="left"/>
      <w:pPr>
        <w:tabs>
          <w:tab w:val="num" w:pos="1068"/>
        </w:tabs>
        <w:ind w:left="1068" w:hanging="708"/>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2F37F8D"/>
    <w:multiLevelType w:val="hybridMultilevel"/>
    <w:tmpl w:val="CF0EFFA6"/>
    <w:lvl w:ilvl="0" w:tplc="0DA2814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C154D4"/>
    <w:multiLevelType w:val="multilevel"/>
    <w:tmpl w:val="7A8A75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243E298A"/>
    <w:multiLevelType w:val="hybridMultilevel"/>
    <w:tmpl w:val="8588207C"/>
    <w:lvl w:ilvl="0" w:tplc="914C82E0">
      <w:start w:val="1"/>
      <w:numFmt w:val="decimal"/>
      <w:lvlText w:val="%1."/>
      <w:lvlJc w:val="left"/>
      <w:pPr>
        <w:tabs>
          <w:tab w:val="num" w:pos="720"/>
        </w:tabs>
        <w:ind w:left="720" w:hanging="360"/>
      </w:pPr>
    </w:lvl>
    <w:lvl w:ilvl="1" w:tplc="FAE0FE2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9A0C6E"/>
    <w:multiLevelType w:val="multilevel"/>
    <w:tmpl w:val="2ED64FBA"/>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3">
    <w:nsid w:val="272E3DD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9CB1BA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C822EFA"/>
    <w:multiLevelType w:val="hybridMultilevel"/>
    <w:tmpl w:val="A988432A"/>
    <w:lvl w:ilvl="0" w:tplc="34D43436">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F520E94"/>
    <w:multiLevelType w:val="multilevel"/>
    <w:tmpl w:val="D0944D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E1E3A87"/>
    <w:multiLevelType w:val="multilevel"/>
    <w:tmpl w:val="F1EEEF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7"/>
        </w:tabs>
        <w:ind w:left="907" w:hanging="62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F70752A"/>
    <w:multiLevelType w:val="hybridMultilevel"/>
    <w:tmpl w:val="4998E3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42352021"/>
    <w:multiLevelType w:val="multilevel"/>
    <w:tmpl w:val="A36020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42945F94"/>
    <w:multiLevelType w:val="multilevel"/>
    <w:tmpl w:val="F5E84738"/>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31">
    <w:nsid w:val="43055521"/>
    <w:multiLevelType w:val="multilevel"/>
    <w:tmpl w:val="444A2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4593C3F"/>
    <w:multiLevelType w:val="hybridMultilevel"/>
    <w:tmpl w:val="E408850A"/>
    <w:lvl w:ilvl="0" w:tplc="0409000F">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4D32690"/>
    <w:multiLevelType w:val="hybridMultilevel"/>
    <w:tmpl w:val="4C441B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49534BE9"/>
    <w:multiLevelType w:val="hybridMultilevel"/>
    <w:tmpl w:val="26702468"/>
    <w:lvl w:ilvl="0" w:tplc="CA64D5F6">
      <w:start w:val="1"/>
      <w:numFmt w:val="upperRoman"/>
      <w:lvlText w:val="%1."/>
      <w:lvlJc w:val="left"/>
      <w:pPr>
        <w:tabs>
          <w:tab w:val="num" w:pos="360"/>
        </w:tabs>
        <w:ind w:left="360" w:hanging="360"/>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35">
    <w:nsid w:val="4B095838"/>
    <w:multiLevelType w:val="hybridMultilevel"/>
    <w:tmpl w:val="CFF6B42C"/>
    <w:lvl w:ilvl="0" w:tplc="7A3E005E">
      <w:start w:val="1"/>
      <w:numFmt w:val="decimal"/>
      <w:pStyle w:val="StyleStyle10ptBlackRight0cmLinespacingExactly18"/>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EF2A38"/>
    <w:multiLevelType w:val="hybridMultilevel"/>
    <w:tmpl w:val="E110BBF8"/>
    <w:lvl w:ilvl="0" w:tplc="F9A4992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4F245CCB"/>
    <w:multiLevelType w:val="multilevel"/>
    <w:tmpl w:val="40C07D78"/>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38">
    <w:nsid w:val="53EE06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074199C"/>
    <w:multiLevelType w:val="hybridMultilevel"/>
    <w:tmpl w:val="FC1448E6"/>
    <w:lvl w:ilvl="0" w:tplc="975ABEC2">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2A114C5"/>
    <w:multiLevelType w:val="multilevel"/>
    <w:tmpl w:val="34B8E4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7"/>
        </w:tabs>
        <w:ind w:left="907" w:hanging="62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5AB1E29"/>
    <w:multiLevelType w:val="hybridMultilevel"/>
    <w:tmpl w:val="A628F73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2">
    <w:nsid w:val="69CC0F3F"/>
    <w:multiLevelType w:val="hybridMultilevel"/>
    <w:tmpl w:val="23BE9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646AC3"/>
    <w:multiLevelType w:val="multilevel"/>
    <w:tmpl w:val="C3ECF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6A90B28"/>
    <w:multiLevelType w:val="multilevel"/>
    <w:tmpl w:val="EBB086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7"/>
        </w:tabs>
        <w:ind w:left="907" w:hanging="62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6E5772B"/>
    <w:multiLevelType w:val="multilevel"/>
    <w:tmpl w:val="008C58D4"/>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46">
    <w:nsid w:val="7A9B5B0B"/>
    <w:multiLevelType w:val="multilevel"/>
    <w:tmpl w:val="EB2A68F0"/>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47">
    <w:nsid w:val="7CDA7D27"/>
    <w:multiLevelType w:val="hybridMultilevel"/>
    <w:tmpl w:val="049E8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47"/>
  </w:num>
  <w:num w:numId="3">
    <w:abstractNumId w:val="34"/>
  </w:num>
  <w:num w:numId="4">
    <w:abstractNumId w:val="35"/>
  </w:num>
  <w:num w:numId="5">
    <w:abstractNumId w:val="21"/>
  </w:num>
  <w:num w:numId="6">
    <w:abstractNumId w:val="37"/>
  </w:num>
  <w:num w:numId="7">
    <w:abstractNumId w:val="39"/>
  </w:num>
  <w:num w:numId="8">
    <w:abstractNumId w:val="4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37"/>
  </w:num>
  <w:num w:numId="21">
    <w:abstractNumId w:val="28"/>
  </w:num>
  <w:num w:numId="22">
    <w:abstractNumId w:val="38"/>
  </w:num>
  <w:num w:numId="23">
    <w:abstractNumId w:val="24"/>
  </w:num>
  <w:num w:numId="24">
    <w:abstractNumId w:val="14"/>
  </w:num>
  <w:num w:numId="25">
    <w:abstractNumId w:val="29"/>
  </w:num>
  <w:num w:numId="26">
    <w:abstractNumId w:val="20"/>
  </w:num>
  <w:num w:numId="27">
    <w:abstractNumId w:val="33"/>
  </w:num>
  <w:num w:numId="28">
    <w:abstractNumId w:val="18"/>
  </w:num>
  <w:num w:numId="29">
    <w:abstractNumId w:val="44"/>
  </w:num>
  <w:num w:numId="30">
    <w:abstractNumId w:val="11"/>
  </w:num>
  <w:num w:numId="31">
    <w:abstractNumId w:val="10"/>
  </w:num>
  <w:num w:numId="32">
    <w:abstractNumId w:val="16"/>
  </w:num>
  <w:num w:numId="33">
    <w:abstractNumId w:val="27"/>
  </w:num>
  <w:num w:numId="34">
    <w:abstractNumId w:val="12"/>
  </w:num>
  <w:num w:numId="35">
    <w:abstractNumId w:val="40"/>
  </w:num>
  <w:num w:numId="36">
    <w:abstractNumId w:val="17"/>
  </w:num>
  <w:num w:numId="37">
    <w:abstractNumId w:val="23"/>
  </w:num>
  <w:num w:numId="38">
    <w:abstractNumId w:val="36"/>
  </w:num>
  <w:num w:numId="39">
    <w:abstractNumId w:val="31"/>
  </w:num>
  <w:num w:numId="40">
    <w:abstractNumId w:val="43"/>
  </w:num>
  <w:num w:numId="41">
    <w:abstractNumId w:val="19"/>
  </w:num>
  <w:num w:numId="42">
    <w:abstractNumId w:val="26"/>
  </w:num>
  <w:num w:numId="43">
    <w:abstractNumId w:val="13"/>
  </w:num>
  <w:num w:numId="44">
    <w:abstractNumId w:val="32"/>
  </w:num>
  <w:num w:numId="45">
    <w:abstractNumId w:val="45"/>
  </w:num>
  <w:num w:numId="46">
    <w:abstractNumId w:val="22"/>
  </w:num>
  <w:num w:numId="47">
    <w:abstractNumId w:val="30"/>
  </w:num>
  <w:num w:numId="48">
    <w:abstractNumId w:val="46"/>
  </w:num>
  <w:num w:numId="49">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nl-BE" w:vendorID="1" w:dllVersion="512" w:checkStyle="1"/>
  <w:activeWritingStyle w:appName="MSWord" w:lang="nl-NL" w:vendorID="1" w:dllVersion="512" w:checkStyle="1"/>
  <w:activeWritingStyle w:appName="MSWord" w:lang="pl-PL" w:vendorID="12" w:dllVersion="512" w:checkStyle="1"/>
  <w:stylePaneFormatFilter w:val="0004"/>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rsids>
    <w:rsidRoot w:val="00063237"/>
    <w:rsid w:val="0000003F"/>
    <w:rsid w:val="00003BD2"/>
    <w:rsid w:val="00004C04"/>
    <w:rsid w:val="000056E5"/>
    <w:rsid w:val="00005C83"/>
    <w:rsid w:val="0001014E"/>
    <w:rsid w:val="000101C9"/>
    <w:rsid w:val="00012BFE"/>
    <w:rsid w:val="00012F46"/>
    <w:rsid w:val="00013FCD"/>
    <w:rsid w:val="0001598D"/>
    <w:rsid w:val="0001611B"/>
    <w:rsid w:val="00016DA8"/>
    <w:rsid w:val="00016E7F"/>
    <w:rsid w:val="0002005F"/>
    <w:rsid w:val="00020A14"/>
    <w:rsid w:val="00021964"/>
    <w:rsid w:val="0002239E"/>
    <w:rsid w:val="0002297D"/>
    <w:rsid w:val="00024FC3"/>
    <w:rsid w:val="000260D6"/>
    <w:rsid w:val="0002640D"/>
    <w:rsid w:val="000278DD"/>
    <w:rsid w:val="000318BE"/>
    <w:rsid w:val="00033AA8"/>
    <w:rsid w:val="000349C3"/>
    <w:rsid w:val="00034F30"/>
    <w:rsid w:val="000355A9"/>
    <w:rsid w:val="00035C70"/>
    <w:rsid w:val="000372B7"/>
    <w:rsid w:val="000376DE"/>
    <w:rsid w:val="00040578"/>
    <w:rsid w:val="00042CC2"/>
    <w:rsid w:val="00044D87"/>
    <w:rsid w:val="0004512B"/>
    <w:rsid w:val="00045BF0"/>
    <w:rsid w:val="000465CB"/>
    <w:rsid w:val="00047793"/>
    <w:rsid w:val="00047C87"/>
    <w:rsid w:val="000507B0"/>
    <w:rsid w:val="00051354"/>
    <w:rsid w:val="00052DAF"/>
    <w:rsid w:val="000540D2"/>
    <w:rsid w:val="0005654F"/>
    <w:rsid w:val="000573DB"/>
    <w:rsid w:val="00060951"/>
    <w:rsid w:val="000627A0"/>
    <w:rsid w:val="00063237"/>
    <w:rsid w:val="000652D3"/>
    <w:rsid w:val="00067334"/>
    <w:rsid w:val="00070269"/>
    <w:rsid w:val="00070FBB"/>
    <w:rsid w:val="000715B8"/>
    <w:rsid w:val="00073453"/>
    <w:rsid w:val="00074351"/>
    <w:rsid w:val="0007577A"/>
    <w:rsid w:val="000767A9"/>
    <w:rsid w:val="000770B5"/>
    <w:rsid w:val="000818BE"/>
    <w:rsid w:val="0008457D"/>
    <w:rsid w:val="00086C9D"/>
    <w:rsid w:val="00090C19"/>
    <w:rsid w:val="000912EC"/>
    <w:rsid w:val="00091A04"/>
    <w:rsid w:val="00092EA1"/>
    <w:rsid w:val="00094A4D"/>
    <w:rsid w:val="00095AD4"/>
    <w:rsid w:val="000972E8"/>
    <w:rsid w:val="000A06B7"/>
    <w:rsid w:val="000B05E9"/>
    <w:rsid w:val="000B0CEE"/>
    <w:rsid w:val="000B1B00"/>
    <w:rsid w:val="000B2770"/>
    <w:rsid w:val="000B3E97"/>
    <w:rsid w:val="000B4916"/>
    <w:rsid w:val="000B4C2A"/>
    <w:rsid w:val="000B4C2D"/>
    <w:rsid w:val="000B6FBB"/>
    <w:rsid w:val="000B77C6"/>
    <w:rsid w:val="000C0F1B"/>
    <w:rsid w:val="000C122C"/>
    <w:rsid w:val="000C1D80"/>
    <w:rsid w:val="000C2C88"/>
    <w:rsid w:val="000C4753"/>
    <w:rsid w:val="000C54ED"/>
    <w:rsid w:val="000C5911"/>
    <w:rsid w:val="000D046C"/>
    <w:rsid w:val="000D04F7"/>
    <w:rsid w:val="000D10D7"/>
    <w:rsid w:val="000D49BA"/>
    <w:rsid w:val="000D4E46"/>
    <w:rsid w:val="000D6003"/>
    <w:rsid w:val="000D64DC"/>
    <w:rsid w:val="000D741B"/>
    <w:rsid w:val="000E1E00"/>
    <w:rsid w:val="000E259B"/>
    <w:rsid w:val="000E2F4C"/>
    <w:rsid w:val="000E67B2"/>
    <w:rsid w:val="000E6CF4"/>
    <w:rsid w:val="000E72F7"/>
    <w:rsid w:val="000F0755"/>
    <w:rsid w:val="000F0C98"/>
    <w:rsid w:val="000F1500"/>
    <w:rsid w:val="000F1D8D"/>
    <w:rsid w:val="000F2A66"/>
    <w:rsid w:val="000F315B"/>
    <w:rsid w:val="000F3960"/>
    <w:rsid w:val="000F5E91"/>
    <w:rsid w:val="000F61B2"/>
    <w:rsid w:val="000F7E44"/>
    <w:rsid w:val="00101B4A"/>
    <w:rsid w:val="00102FD3"/>
    <w:rsid w:val="0010345D"/>
    <w:rsid w:val="001036FD"/>
    <w:rsid w:val="0010378B"/>
    <w:rsid w:val="00103800"/>
    <w:rsid w:val="001056CC"/>
    <w:rsid w:val="00105F14"/>
    <w:rsid w:val="001064F5"/>
    <w:rsid w:val="00106E9A"/>
    <w:rsid w:val="001105B4"/>
    <w:rsid w:val="00110CA6"/>
    <w:rsid w:val="00111FC6"/>
    <w:rsid w:val="0011374D"/>
    <w:rsid w:val="001147A1"/>
    <w:rsid w:val="00116433"/>
    <w:rsid w:val="00116470"/>
    <w:rsid w:val="0011694F"/>
    <w:rsid w:val="00117233"/>
    <w:rsid w:val="00117264"/>
    <w:rsid w:val="00117305"/>
    <w:rsid w:val="0011752B"/>
    <w:rsid w:val="00120ED3"/>
    <w:rsid w:val="001211E9"/>
    <w:rsid w:val="0012151C"/>
    <w:rsid w:val="00122738"/>
    <w:rsid w:val="00123C2B"/>
    <w:rsid w:val="0012431A"/>
    <w:rsid w:val="001246AA"/>
    <w:rsid w:val="00124A15"/>
    <w:rsid w:val="00124B71"/>
    <w:rsid w:val="00126B21"/>
    <w:rsid w:val="0013224E"/>
    <w:rsid w:val="00132468"/>
    <w:rsid w:val="001327E3"/>
    <w:rsid w:val="00134841"/>
    <w:rsid w:val="001350A3"/>
    <w:rsid w:val="00135818"/>
    <w:rsid w:val="00137100"/>
    <w:rsid w:val="00137E29"/>
    <w:rsid w:val="001407A5"/>
    <w:rsid w:val="00142FD1"/>
    <w:rsid w:val="00143283"/>
    <w:rsid w:val="0014352B"/>
    <w:rsid w:val="0014478D"/>
    <w:rsid w:val="0014717D"/>
    <w:rsid w:val="00147243"/>
    <w:rsid w:val="0015047C"/>
    <w:rsid w:val="001539D1"/>
    <w:rsid w:val="00154150"/>
    <w:rsid w:val="001548FF"/>
    <w:rsid w:val="00155756"/>
    <w:rsid w:val="00160AC0"/>
    <w:rsid w:val="00161016"/>
    <w:rsid w:val="00162001"/>
    <w:rsid w:val="00162543"/>
    <w:rsid w:val="00162EA0"/>
    <w:rsid w:val="0016343A"/>
    <w:rsid w:val="001635A1"/>
    <w:rsid w:val="00164752"/>
    <w:rsid w:val="00164F83"/>
    <w:rsid w:val="00166994"/>
    <w:rsid w:val="00167D9B"/>
    <w:rsid w:val="0017150A"/>
    <w:rsid w:val="001743BD"/>
    <w:rsid w:val="00174872"/>
    <w:rsid w:val="00174A44"/>
    <w:rsid w:val="00174E07"/>
    <w:rsid w:val="0017520C"/>
    <w:rsid w:val="00176F52"/>
    <w:rsid w:val="0017763D"/>
    <w:rsid w:val="00181469"/>
    <w:rsid w:val="00181939"/>
    <w:rsid w:val="00181F6C"/>
    <w:rsid w:val="001841B6"/>
    <w:rsid w:val="001843D9"/>
    <w:rsid w:val="00184857"/>
    <w:rsid w:val="0018589D"/>
    <w:rsid w:val="00185F9F"/>
    <w:rsid w:val="001865FD"/>
    <w:rsid w:val="0018743F"/>
    <w:rsid w:val="00187EC8"/>
    <w:rsid w:val="00190870"/>
    <w:rsid w:val="00190EFE"/>
    <w:rsid w:val="00191393"/>
    <w:rsid w:val="001914F8"/>
    <w:rsid w:val="00192B1C"/>
    <w:rsid w:val="00193D5F"/>
    <w:rsid w:val="00194C3B"/>
    <w:rsid w:val="00194DBC"/>
    <w:rsid w:val="00195C33"/>
    <w:rsid w:val="00195EF6"/>
    <w:rsid w:val="00196D04"/>
    <w:rsid w:val="00196F36"/>
    <w:rsid w:val="001A0286"/>
    <w:rsid w:val="001A24CB"/>
    <w:rsid w:val="001A3CD5"/>
    <w:rsid w:val="001A4BB1"/>
    <w:rsid w:val="001A5CAF"/>
    <w:rsid w:val="001A6315"/>
    <w:rsid w:val="001B0227"/>
    <w:rsid w:val="001B2045"/>
    <w:rsid w:val="001B2F19"/>
    <w:rsid w:val="001B4B63"/>
    <w:rsid w:val="001B535E"/>
    <w:rsid w:val="001B6E70"/>
    <w:rsid w:val="001C1BBC"/>
    <w:rsid w:val="001C2197"/>
    <w:rsid w:val="001C2472"/>
    <w:rsid w:val="001C26B6"/>
    <w:rsid w:val="001C2B71"/>
    <w:rsid w:val="001C2FF7"/>
    <w:rsid w:val="001C36EE"/>
    <w:rsid w:val="001C37BE"/>
    <w:rsid w:val="001C3E61"/>
    <w:rsid w:val="001C622E"/>
    <w:rsid w:val="001C6D79"/>
    <w:rsid w:val="001D07E4"/>
    <w:rsid w:val="001D2904"/>
    <w:rsid w:val="001D461A"/>
    <w:rsid w:val="001D5581"/>
    <w:rsid w:val="001D5E49"/>
    <w:rsid w:val="001D5E7A"/>
    <w:rsid w:val="001D70EC"/>
    <w:rsid w:val="001D7380"/>
    <w:rsid w:val="001D7928"/>
    <w:rsid w:val="001E0217"/>
    <w:rsid w:val="001E2E63"/>
    <w:rsid w:val="001E3726"/>
    <w:rsid w:val="001E5500"/>
    <w:rsid w:val="001E58EF"/>
    <w:rsid w:val="001E6A53"/>
    <w:rsid w:val="001E7A3A"/>
    <w:rsid w:val="001F1585"/>
    <w:rsid w:val="001F18DE"/>
    <w:rsid w:val="001F3B54"/>
    <w:rsid w:val="001F4105"/>
    <w:rsid w:val="001F4321"/>
    <w:rsid w:val="001F69F7"/>
    <w:rsid w:val="001F7516"/>
    <w:rsid w:val="001F78AE"/>
    <w:rsid w:val="00201333"/>
    <w:rsid w:val="00202785"/>
    <w:rsid w:val="002030D9"/>
    <w:rsid w:val="002033FE"/>
    <w:rsid w:val="002034BB"/>
    <w:rsid w:val="002053BC"/>
    <w:rsid w:val="0020607C"/>
    <w:rsid w:val="002068C6"/>
    <w:rsid w:val="0020742E"/>
    <w:rsid w:val="0020749A"/>
    <w:rsid w:val="0021106C"/>
    <w:rsid w:val="00211817"/>
    <w:rsid w:val="00212B4B"/>
    <w:rsid w:val="00213138"/>
    <w:rsid w:val="00213316"/>
    <w:rsid w:val="00213DBA"/>
    <w:rsid w:val="00214025"/>
    <w:rsid w:val="00214A25"/>
    <w:rsid w:val="00215701"/>
    <w:rsid w:val="00217A7E"/>
    <w:rsid w:val="0022319A"/>
    <w:rsid w:val="00225338"/>
    <w:rsid w:val="002259E4"/>
    <w:rsid w:val="00226141"/>
    <w:rsid w:val="00227FCC"/>
    <w:rsid w:val="00231C34"/>
    <w:rsid w:val="0023308F"/>
    <w:rsid w:val="00233653"/>
    <w:rsid w:val="00233AAB"/>
    <w:rsid w:val="00234A53"/>
    <w:rsid w:val="00235365"/>
    <w:rsid w:val="00236169"/>
    <w:rsid w:val="002367EE"/>
    <w:rsid w:val="00237A85"/>
    <w:rsid w:val="0024046C"/>
    <w:rsid w:val="0024086E"/>
    <w:rsid w:val="002409FA"/>
    <w:rsid w:val="00240F61"/>
    <w:rsid w:val="002411FF"/>
    <w:rsid w:val="002433D9"/>
    <w:rsid w:val="002446F4"/>
    <w:rsid w:val="00246DA6"/>
    <w:rsid w:val="00247BC5"/>
    <w:rsid w:val="00250F60"/>
    <w:rsid w:val="00254B8A"/>
    <w:rsid w:val="00254CF8"/>
    <w:rsid w:val="00254EB2"/>
    <w:rsid w:val="00256A73"/>
    <w:rsid w:val="00257A4C"/>
    <w:rsid w:val="00257EEE"/>
    <w:rsid w:val="00257F44"/>
    <w:rsid w:val="0026151A"/>
    <w:rsid w:val="00261AD9"/>
    <w:rsid w:val="00262D13"/>
    <w:rsid w:val="00263445"/>
    <w:rsid w:val="00264120"/>
    <w:rsid w:val="00264516"/>
    <w:rsid w:val="002650E8"/>
    <w:rsid w:val="0026622E"/>
    <w:rsid w:val="00270499"/>
    <w:rsid w:val="00272C68"/>
    <w:rsid w:val="00272F9C"/>
    <w:rsid w:val="0027342F"/>
    <w:rsid w:val="00273B56"/>
    <w:rsid w:val="00273BDA"/>
    <w:rsid w:val="002740EC"/>
    <w:rsid w:val="00274E1F"/>
    <w:rsid w:val="00275C0A"/>
    <w:rsid w:val="002772A2"/>
    <w:rsid w:val="00280486"/>
    <w:rsid w:val="00281015"/>
    <w:rsid w:val="0028133B"/>
    <w:rsid w:val="002817A2"/>
    <w:rsid w:val="0028381C"/>
    <w:rsid w:val="002851AF"/>
    <w:rsid w:val="00285644"/>
    <w:rsid w:val="00285653"/>
    <w:rsid w:val="00285E1C"/>
    <w:rsid w:val="002866FA"/>
    <w:rsid w:val="00287688"/>
    <w:rsid w:val="00290228"/>
    <w:rsid w:val="00292987"/>
    <w:rsid w:val="00293133"/>
    <w:rsid w:val="00294EED"/>
    <w:rsid w:val="0029531D"/>
    <w:rsid w:val="00295777"/>
    <w:rsid w:val="00295937"/>
    <w:rsid w:val="00295A48"/>
    <w:rsid w:val="0029696D"/>
    <w:rsid w:val="002A0BB5"/>
    <w:rsid w:val="002A1268"/>
    <w:rsid w:val="002A1F8C"/>
    <w:rsid w:val="002A2238"/>
    <w:rsid w:val="002A362B"/>
    <w:rsid w:val="002A457B"/>
    <w:rsid w:val="002A4A65"/>
    <w:rsid w:val="002A59F2"/>
    <w:rsid w:val="002A5DA2"/>
    <w:rsid w:val="002A5E56"/>
    <w:rsid w:val="002B06B3"/>
    <w:rsid w:val="002B0BD6"/>
    <w:rsid w:val="002B0D06"/>
    <w:rsid w:val="002B1204"/>
    <w:rsid w:val="002B250A"/>
    <w:rsid w:val="002B4B2F"/>
    <w:rsid w:val="002B72DF"/>
    <w:rsid w:val="002B7F98"/>
    <w:rsid w:val="002C192B"/>
    <w:rsid w:val="002C1D6E"/>
    <w:rsid w:val="002C2DDF"/>
    <w:rsid w:val="002C2F88"/>
    <w:rsid w:val="002C3D9D"/>
    <w:rsid w:val="002C4B44"/>
    <w:rsid w:val="002C5298"/>
    <w:rsid w:val="002C5C99"/>
    <w:rsid w:val="002D0FA1"/>
    <w:rsid w:val="002D2656"/>
    <w:rsid w:val="002D367A"/>
    <w:rsid w:val="002D3964"/>
    <w:rsid w:val="002D51CD"/>
    <w:rsid w:val="002D6844"/>
    <w:rsid w:val="002D74BF"/>
    <w:rsid w:val="002E045B"/>
    <w:rsid w:val="002E0B5E"/>
    <w:rsid w:val="002E25A2"/>
    <w:rsid w:val="002E2C0A"/>
    <w:rsid w:val="002E33DD"/>
    <w:rsid w:val="002E4802"/>
    <w:rsid w:val="002E5D2D"/>
    <w:rsid w:val="002E7304"/>
    <w:rsid w:val="002E75BC"/>
    <w:rsid w:val="002E771E"/>
    <w:rsid w:val="002F56C1"/>
    <w:rsid w:val="002F5A40"/>
    <w:rsid w:val="003019DC"/>
    <w:rsid w:val="00302FEF"/>
    <w:rsid w:val="003035BC"/>
    <w:rsid w:val="003043E3"/>
    <w:rsid w:val="00304626"/>
    <w:rsid w:val="00305704"/>
    <w:rsid w:val="00305AD0"/>
    <w:rsid w:val="00305E6E"/>
    <w:rsid w:val="00306705"/>
    <w:rsid w:val="00306AE4"/>
    <w:rsid w:val="00310343"/>
    <w:rsid w:val="00313119"/>
    <w:rsid w:val="00313614"/>
    <w:rsid w:val="00313A29"/>
    <w:rsid w:val="003152B1"/>
    <w:rsid w:val="00315343"/>
    <w:rsid w:val="00316BF5"/>
    <w:rsid w:val="003179BB"/>
    <w:rsid w:val="00320480"/>
    <w:rsid w:val="003208C8"/>
    <w:rsid w:val="00322413"/>
    <w:rsid w:val="00322F83"/>
    <w:rsid w:val="00324C03"/>
    <w:rsid w:val="003250B5"/>
    <w:rsid w:val="00325BE8"/>
    <w:rsid w:val="00326656"/>
    <w:rsid w:val="00326A11"/>
    <w:rsid w:val="00330E1E"/>
    <w:rsid w:val="00333084"/>
    <w:rsid w:val="0033423D"/>
    <w:rsid w:val="003357C6"/>
    <w:rsid w:val="003357EC"/>
    <w:rsid w:val="00335DC4"/>
    <w:rsid w:val="00336921"/>
    <w:rsid w:val="00336C00"/>
    <w:rsid w:val="0033770C"/>
    <w:rsid w:val="0034057B"/>
    <w:rsid w:val="00341CC6"/>
    <w:rsid w:val="00341FA0"/>
    <w:rsid w:val="00342D18"/>
    <w:rsid w:val="003461C1"/>
    <w:rsid w:val="00346596"/>
    <w:rsid w:val="0034742A"/>
    <w:rsid w:val="003511DA"/>
    <w:rsid w:val="00352202"/>
    <w:rsid w:val="00352204"/>
    <w:rsid w:val="00352B69"/>
    <w:rsid w:val="00352EF9"/>
    <w:rsid w:val="00354808"/>
    <w:rsid w:val="00354EBE"/>
    <w:rsid w:val="00354F6A"/>
    <w:rsid w:val="00355231"/>
    <w:rsid w:val="00356369"/>
    <w:rsid w:val="00356E7E"/>
    <w:rsid w:val="00357B76"/>
    <w:rsid w:val="00361A75"/>
    <w:rsid w:val="00363A46"/>
    <w:rsid w:val="00364993"/>
    <w:rsid w:val="00365182"/>
    <w:rsid w:val="00365C24"/>
    <w:rsid w:val="00366313"/>
    <w:rsid w:val="003663A4"/>
    <w:rsid w:val="00367B3C"/>
    <w:rsid w:val="00367C6A"/>
    <w:rsid w:val="00370A8D"/>
    <w:rsid w:val="0037103F"/>
    <w:rsid w:val="003717E6"/>
    <w:rsid w:val="003742FF"/>
    <w:rsid w:val="00375C20"/>
    <w:rsid w:val="00376FDD"/>
    <w:rsid w:val="003771D4"/>
    <w:rsid w:val="00377EA3"/>
    <w:rsid w:val="00381A64"/>
    <w:rsid w:val="0038238E"/>
    <w:rsid w:val="00382436"/>
    <w:rsid w:val="003824C6"/>
    <w:rsid w:val="00384289"/>
    <w:rsid w:val="003847A2"/>
    <w:rsid w:val="00384A19"/>
    <w:rsid w:val="003865AD"/>
    <w:rsid w:val="00386FA6"/>
    <w:rsid w:val="00387331"/>
    <w:rsid w:val="00387780"/>
    <w:rsid w:val="00387E5E"/>
    <w:rsid w:val="0039085E"/>
    <w:rsid w:val="00390862"/>
    <w:rsid w:val="00390D15"/>
    <w:rsid w:val="003913D1"/>
    <w:rsid w:val="00391C2D"/>
    <w:rsid w:val="00392002"/>
    <w:rsid w:val="00392640"/>
    <w:rsid w:val="0039332D"/>
    <w:rsid w:val="0039621A"/>
    <w:rsid w:val="00397C55"/>
    <w:rsid w:val="003A1F70"/>
    <w:rsid w:val="003A34CB"/>
    <w:rsid w:val="003A4DD5"/>
    <w:rsid w:val="003A5604"/>
    <w:rsid w:val="003A5687"/>
    <w:rsid w:val="003A577B"/>
    <w:rsid w:val="003A7095"/>
    <w:rsid w:val="003A74BE"/>
    <w:rsid w:val="003A77E7"/>
    <w:rsid w:val="003B0A06"/>
    <w:rsid w:val="003B0C42"/>
    <w:rsid w:val="003B1A20"/>
    <w:rsid w:val="003B3AB2"/>
    <w:rsid w:val="003B3DDB"/>
    <w:rsid w:val="003B6139"/>
    <w:rsid w:val="003B627C"/>
    <w:rsid w:val="003B716B"/>
    <w:rsid w:val="003B75A5"/>
    <w:rsid w:val="003C3380"/>
    <w:rsid w:val="003C46E4"/>
    <w:rsid w:val="003C4A4D"/>
    <w:rsid w:val="003C7148"/>
    <w:rsid w:val="003C7FC0"/>
    <w:rsid w:val="003D1A67"/>
    <w:rsid w:val="003D21B4"/>
    <w:rsid w:val="003D24CA"/>
    <w:rsid w:val="003D4097"/>
    <w:rsid w:val="003D6867"/>
    <w:rsid w:val="003E02E3"/>
    <w:rsid w:val="003E07A0"/>
    <w:rsid w:val="003E1A44"/>
    <w:rsid w:val="003E250A"/>
    <w:rsid w:val="003E2C9F"/>
    <w:rsid w:val="003E30AD"/>
    <w:rsid w:val="003E33DF"/>
    <w:rsid w:val="003E391F"/>
    <w:rsid w:val="003E3C51"/>
    <w:rsid w:val="003E3F69"/>
    <w:rsid w:val="003E414A"/>
    <w:rsid w:val="003E4936"/>
    <w:rsid w:val="003E6239"/>
    <w:rsid w:val="003F066E"/>
    <w:rsid w:val="003F10E4"/>
    <w:rsid w:val="003F4DE1"/>
    <w:rsid w:val="003F58F9"/>
    <w:rsid w:val="003F6B2E"/>
    <w:rsid w:val="004000B3"/>
    <w:rsid w:val="004003C0"/>
    <w:rsid w:val="00400E52"/>
    <w:rsid w:val="00403074"/>
    <w:rsid w:val="00403C2A"/>
    <w:rsid w:val="00404628"/>
    <w:rsid w:val="00404C78"/>
    <w:rsid w:val="00410335"/>
    <w:rsid w:val="0041096B"/>
    <w:rsid w:val="00410C22"/>
    <w:rsid w:val="004117D6"/>
    <w:rsid w:val="00411BD3"/>
    <w:rsid w:val="00411C46"/>
    <w:rsid w:val="00413DAE"/>
    <w:rsid w:val="00413F7E"/>
    <w:rsid w:val="00420420"/>
    <w:rsid w:val="00420573"/>
    <w:rsid w:val="004214B8"/>
    <w:rsid w:val="00421C46"/>
    <w:rsid w:val="004220D1"/>
    <w:rsid w:val="0042326E"/>
    <w:rsid w:val="0042365D"/>
    <w:rsid w:val="00424794"/>
    <w:rsid w:val="0042503F"/>
    <w:rsid w:val="004258D8"/>
    <w:rsid w:val="0042621A"/>
    <w:rsid w:val="00426373"/>
    <w:rsid w:val="004271D0"/>
    <w:rsid w:val="0043013B"/>
    <w:rsid w:val="00430746"/>
    <w:rsid w:val="0043129C"/>
    <w:rsid w:val="0043162D"/>
    <w:rsid w:val="00431A50"/>
    <w:rsid w:val="0043360F"/>
    <w:rsid w:val="00434164"/>
    <w:rsid w:val="00435B40"/>
    <w:rsid w:val="00436AD6"/>
    <w:rsid w:val="00437F5C"/>
    <w:rsid w:val="004401C2"/>
    <w:rsid w:val="004405BA"/>
    <w:rsid w:val="004407C1"/>
    <w:rsid w:val="00441064"/>
    <w:rsid w:val="00441747"/>
    <w:rsid w:val="004437C1"/>
    <w:rsid w:val="00443874"/>
    <w:rsid w:val="00445797"/>
    <w:rsid w:val="00445DB7"/>
    <w:rsid w:val="0044652B"/>
    <w:rsid w:val="00446F96"/>
    <w:rsid w:val="004471D8"/>
    <w:rsid w:val="00450873"/>
    <w:rsid w:val="00450F3D"/>
    <w:rsid w:val="004512D3"/>
    <w:rsid w:val="00451B88"/>
    <w:rsid w:val="00452A44"/>
    <w:rsid w:val="00452DAA"/>
    <w:rsid w:val="004534DE"/>
    <w:rsid w:val="00453EF7"/>
    <w:rsid w:val="0045460A"/>
    <w:rsid w:val="00456780"/>
    <w:rsid w:val="0045691D"/>
    <w:rsid w:val="00456D35"/>
    <w:rsid w:val="00456F9E"/>
    <w:rsid w:val="00460672"/>
    <w:rsid w:val="004611E0"/>
    <w:rsid w:val="0046151B"/>
    <w:rsid w:val="00461915"/>
    <w:rsid w:val="00462A51"/>
    <w:rsid w:val="004662F5"/>
    <w:rsid w:val="004665D5"/>
    <w:rsid w:val="0046763F"/>
    <w:rsid w:val="0047145A"/>
    <w:rsid w:val="00473EAE"/>
    <w:rsid w:val="00475081"/>
    <w:rsid w:val="004753F6"/>
    <w:rsid w:val="0047563F"/>
    <w:rsid w:val="0047762D"/>
    <w:rsid w:val="004777DD"/>
    <w:rsid w:val="00477C27"/>
    <w:rsid w:val="00481208"/>
    <w:rsid w:val="00482F06"/>
    <w:rsid w:val="004833CF"/>
    <w:rsid w:val="00483EB1"/>
    <w:rsid w:val="004856A8"/>
    <w:rsid w:val="00487C72"/>
    <w:rsid w:val="00490FD7"/>
    <w:rsid w:val="00491D15"/>
    <w:rsid w:val="00493ECB"/>
    <w:rsid w:val="00495D79"/>
    <w:rsid w:val="00495E12"/>
    <w:rsid w:val="0049628A"/>
    <w:rsid w:val="0049628D"/>
    <w:rsid w:val="00496D23"/>
    <w:rsid w:val="00497C0D"/>
    <w:rsid w:val="004A0813"/>
    <w:rsid w:val="004A1D92"/>
    <w:rsid w:val="004A25D3"/>
    <w:rsid w:val="004A3097"/>
    <w:rsid w:val="004A410A"/>
    <w:rsid w:val="004A4FED"/>
    <w:rsid w:val="004A5F0C"/>
    <w:rsid w:val="004A6063"/>
    <w:rsid w:val="004A6BD7"/>
    <w:rsid w:val="004A77D0"/>
    <w:rsid w:val="004A7A59"/>
    <w:rsid w:val="004A7DC7"/>
    <w:rsid w:val="004B10F2"/>
    <w:rsid w:val="004B119F"/>
    <w:rsid w:val="004B2BA9"/>
    <w:rsid w:val="004B2F9E"/>
    <w:rsid w:val="004B6050"/>
    <w:rsid w:val="004B624E"/>
    <w:rsid w:val="004B6CE0"/>
    <w:rsid w:val="004C0335"/>
    <w:rsid w:val="004C251E"/>
    <w:rsid w:val="004C2A45"/>
    <w:rsid w:val="004C36C3"/>
    <w:rsid w:val="004C5466"/>
    <w:rsid w:val="004C6089"/>
    <w:rsid w:val="004C738C"/>
    <w:rsid w:val="004D03CE"/>
    <w:rsid w:val="004D1551"/>
    <w:rsid w:val="004D1C2F"/>
    <w:rsid w:val="004D3207"/>
    <w:rsid w:val="004D411E"/>
    <w:rsid w:val="004E1015"/>
    <w:rsid w:val="004E3291"/>
    <w:rsid w:val="004E3496"/>
    <w:rsid w:val="004E39DA"/>
    <w:rsid w:val="004E3A44"/>
    <w:rsid w:val="004E42D5"/>
    <w:rsid w:val="004E5024"/>
    <w:rsid w:val="004E58A0"/>
    <w:rsid w:val="004E6D84"/>
    <w:rsid w:val="004E74E9"/>
    <w:rsid w:val="004F0909"/>
    <w:rsid w:val="004F1B27"/>
    <w:rsid w:val="004F2C8E"/>
    <w:rsid w:val="004F34E4"/>
    <w:rsid w:val="004F4622"/>
    <w:rsid w:val="004F5291"/>
    <w:rsid w:val="004F73D0"/>
    <w:rsid w:val="00500107"/>
    <w:rsid w:val="00501834"/>
    <w:rsid w:val="005019DA"/>
    <w:rsid w:val="0050220E"/>
    <w:rsid w:val="0050225F"/>
    <w:rsid w:val="00502986"/>
    <w:rsid w:val="00502A11"/>
    <w:rsid w:val="00504A42"/>
    <w:rsid w:val="00505D88"/>
    <w:rsid w:val="00505DF2"/>
    <w:rsid w:val="00506677"/>
    <w:rsid w:val="00507F7A"/>
    <w:rsid w:val="00510695"/>
    <w:rsid w:val="00511004"/>
    <w:rsid w:val="00512059"/>
    <w:rsid w:val="00513B74"/>
    <w:rsid w:val="00513D86"/>
    <w:rsid w:val="0051599F"/>
    <w:rsid w:val="00516137"/>
    <w:rsid w:val="00516808"/>
    <w:rsid w:val="005238A0"/>
    <w:rsid w:val="005243CB"/>
    <w:rsid w:val="005244AD"/>
    <w:rsid w:val="0052759E"/>
    <w:rsid w:val="0053109C"/>
    <w:rsid w:val="005317D0"/>
    <w:rsid w:val="005324CF"/>
    <w:rsid w:val="00533FC9"/>
    <w:rsid w:val="00534065"/>
    <w:rsid w:val="00534570"/>
    <w:rsid w:val="00534B95"/>
    <w:rsid w:val="005359DB"/>
    <w:rsid w:val="00535BE9"/>
    <w:rsid w:val="0053626B"/>
    <w:rsid w:val="00536F13"/>
    <w:rsid w:val="005370EC"/>
    <w:rsid w:val="00540420"/>
    <w:rsid w:val="00541FC5"/>
    <w:rsid w:val="005459E4"/>
    <w:rsid w:val="005464F0"/>
    <w:rsid w:val="0054670C"/>
    <w:rsid w:val="0054683A"/>
    <w:rsid w:val="00546962"/>
    <w:rsid w:val="00546FB4"/>
    <w:rsid w:val="005471D0"/>
    <w:rsid w:val="005476B6"/>
    <w:rsid w:val="00547ABC"/>
    <w:rsid w:val="00551463"/>
    <w:rsid w:val="00553446"/>
    <w:rsid w:val="00554323"/>
    <w:rsid w:val="00562BAC"/>
    <w:rsid w:val="0056406D"/>
    <w:rsid w:val="0056409A"/>
    <w:rsid w:val="00565ED5"/>
    <w:rsid w:val="00565F60"/>
    <w:rsid w:val="00566824"/>
    <w:rsid w:val="00566DEB"/>
    <w:rsid w:val="00571862"/>
    <w:rsid w:val="00572A11"/>
    <w:rsid w:val="005739D2"/>
    <w:rsid w:val="00575132"/>
    <w:rsid w:val="0057557B"/>
    <w:rsid w:val="0058068F"/>
    <w:rsid w:val="005807AF"/>
    <w:rsid w:val="00583CAB"/>
    <w:rsid w:val="00583EE9"/>
    <w:rsid w:val="00585C76"/>
    <w:rsid w:val="0058643D"/>
    <w:rsid w:val="00587B6A"/>
    <w:rsid w:val="00590A6C"/>
    <w:rsid w:val="00591896"/>
    <w:rsid w:val="0059215D"/>
    <w:rsid w:val="00592177"/>
    <w:rsid w:val="00592B14"/>
    <w:rsid w:val="00593020"/>
    <w:rsid w:val="00594A77"/>
    <w:rsid w:val="00595995"/>
    <w:rsid w:val="00595AD6"/>
    <w:rsid w:val="005A063E"/>
    <w:rsid w:val="005A1D12"/>
    <w:rsid w:val="005A4D0A"/>
    <w:rsid w:val="005A5E5D"/>
    <w:rsid w:val="005A61BA"/>
    <w:rsid w:val="005A6786"/>
    <w:rsid w:val="005A71FB"/>
    <w:rsid w:val="005B01FC"/>
    <w:rsid w:val="005B2E1A"/>
    <w:rsid w:val="005B4EB8"/>
    <w:rsid w:val="005B650C"/>
    <w:rsid w:val="005B65F0"/>
    <w:rsid w:val="005B6C63"/>
    <w:rsid w:val="005B6D31"/>
    <w:rsid w:val="005B76E4"/>
    <w:rsid w:val="005B799F"/>
    <w:rsid w:val="005C1BF0"/>
    <w:rsid w:val="005C3094"/>
    <w:rsid w:val="005C3770"/>
    <w:rsid w:val="005C49D9"/>
    <w:rsid w:val="005C6490"/>
    <w:rsid w:val="005D0AC4"/>
    <w:rsid w:val="005D0CC9"/>
    <w:rsid w:val="005D10F7"/>
    <w:rsid w:val="005D4F28"/>
    <w:rsid w:val="005D58D5"/>
    <w:rsid w:val="005D5B23"/>
    <w:rsid w:val="005D6272"/>
    <w:rsid w:val="005D64CF"/>
    <w:rsid w:val="005D72CE"/>
    <w:rsid w:val="005E0251"/>
    <w:rsid w:val="005E0718"/>
    <w:rsid w:val="005E0D3F"/>
    <w:rsid w:val="005E1BDF"/>
    <w:rsid w:val="005E1C55"/>
    <w:rsid w:val="005E4284"/>
    <w:rsid w:val="005E47D9"/>
    <w:rsid w:val="005E4975"/>
    <w:rsid w:val="005E4D94"/>
    <w:rsid w:val="005E7B20"/>
    <w:rsid w:val="005F0F7E"/>
    <w:rsid w:val="005F476F"/>
    <w:rsid w:val="005F508E"/>
    <w:rsid w:val="005F6429"/>
    <w:rsid w:val="005F743C"/>
    <w:rsid w:val="005F79FE"/>
    <w:rsid w:val="005F7CDE"/>
    <w:rsid w:val="00600598"/>
    <w:rsid w:val="00600FFD"/>
    <w:rsid w:val="006021F1"/>
    <w:rsid w:val="0060388D"/>
    <w:rsid w:val="00603D6E"/>
    <w:rsid w:val="00605279"/>
    <w:rsid w:val="00606729"/>
    <w:rsid w:val="00610106"/>
    <w:rsid w:val="00610E02"/>
    <w:rsid w:val="00611472"/>
    <w:rsid w:val="00611951"/>
    <w:rsid w:val="00613707"/>
    <w:rsid w:val="00613FFE"/>
    <w:rsid w:val="00614220"/>
    <w:rsid w:val="006142DC"/>
    <w:rsid w:val="006154FF"/>
    <w:rsid w:val="006205A1"/>
    <w:rsid w:val="00620E14"/>
    <w:rsid w:val="0062181A"/>
    <w:rsid w:val="006230B6"/>
    <w:rsid w:val="00623B8E"/>
    <w:rsid w:val="00623FDF"/>
    <w:rsid w:val="00624D44"/>
    <w:rsid w:val="00624E3B"/>
    <w:rsid w:val="00626107"/>
    <w:rsid w:val="006302FF"/>
    <w:rsid w:val="00631A97"/>
    <w:rsid w:val="00631B99"/>
    <w:rsid w:val="00632245"/>
    <w:rsid w:val="0063225C"/>
    <w:rsid w:val="00632EFC"/>
    <w:rsid w:val="00637A6F"/>
    <w:rsid w:val="006404AD"/>
    <w:rsid w:val="00640915"/>
    <w:rsid w:val="00640DED"/>
    <w:rsid w:val="00641A2F"/>
    <w:rsid w:val="00642FFB"/>
    <w:rsid w:val="00645C25"/>
    <w:rsid w:val="00651D53"/>
    <w:rsid w:val="00652F6A"/>
    <w:rsid w:val="00653AE9"/>
    <w:rsid w:val="00654688"/>
    <w:rsid w:val="00655626"/>
    <w:rsid w:val="00661ADB"/>
    <w:rsid w:val="0066213B"/>
    <w:rsid w:val="00664583"/>
    <w:rsid w:val="0067055F"/>
    <w:rsid w:val="00671C63"/>
    <w:rsid w:val="00672BFC"/>
    <w:rsid w:val="00672C89"/>
    <w:rsid w:val="00674845"/>
    <w:rsid w:val="00675FFC"/>
    <w:rsid w:val="006770F4"/>
    <w:rsid w:val="00677E80"/>
    <w:rsid w:val="00683D3D"/>
    <w:rsid w:val="00683FDF"/>
    <w:rsid w:val="00685B26"/>
    <w:rsid w:val="006869D6"/>
    <w:rsid w:val="00686C44"/>
    <w:rsid w:val="00687043"/>
    <w:rsid w:val="006879CE"/>
    <w:rsid w:val="00690B4E"/>
    <w:rsid w:val="00690DF7"/>
    <w:rsid w:val="006911B2"/>
    <w:rsid w:val="00691A71"/>
    <w:rsid w:val="00694465"/>
    <w:rsid w:val="00694F4B"/>
    <w:rsid w:val="006960A4"/>
    <w:rsid w:val="0069725F"/>
    <w:rsid w:val="00697D43"/>
    <w:rsid w:val="006A03C6"/>
    <w:rsid w:val="006A1301"/>
    <w:rsid w:val="006A23B4"/>
    <w:rsid w:val="006A28E7"/>
    <w:rsid w:val="006A5098"/>
    <w:rsid w:val="006A5576"/>
    <w:rsid w:val="006B0F0E"/>
    <w:rsid w:val="006B12FC"/>
    <w:rsid w:val="006B1861"/>
    <w:rsid w:val="006B207A"/>
    <w:rsid w:val="006B2B6A"/>
    <w:rsid w:val="006B3391"/>
    <w:rsid w:val="006B344C"/>
    <w:rsid w:val="006B4577"/>
    <w:rsid w:val="006B5631"/>
    <w:rsid w:val="006B591C"/>
    <w:rsid w:val="006B5FEB"/>
    <w:rsid w:val="006B6573"/>
    <w:rsid w:val="006B6F4C"/>
    <w:rsid w:val="006C17D9"/>
    <w:rsid w:val="006C3396"/>
    <w:rsid w:val="006C4852"/>
    <w:rsid w:val="006C57ED"/>
    <w:rsid w:val="006C7033"/>
    <w:rsid w:val="006C78CA"/>
    <w:rsid w:val="006C7EB3"/>
    <w:rsid w:val="006C7EF4"/>
    <w:rsid w:val="006D0E70"/>
    <w:rsid w:val="006D192D"/>
    <w:rsid w:val="006D1A82"/>
    <w:rsid w:val="006D1D8E"/>
    <w:rsid w:val="006D1F3B"/>
    <w:rsid w:val="006D3BA0"/>
    <w:rsid w:val="006D3C8A"/>
    <w:rsid w:val="006D4116"/>
    <w:rsid w:val="006D4949"/>
    <w:rsid w:val="006D4B14"/>
    <w:rsid w:val="006E1A3A"/>
    <w:rsid w:val="006E2E9F"/>
    <w:rsid w:val="006E406E"/>
    <w:rsid w:val="006E4A94"/>
    <w:rsid w:val="006E55E1"/>
    <w:rsid w:val="006E5653"/>
    <w:rsid w:val="006E6B8A"/>
    <w:rsid w:val="006E7179"/>
    <w:rsid w:val="006F080C"/>
    <w:rsid w:val="006F21CB"/>
    <w:rsid w:val="006F221C"/>
    <w:rsid w:val="006F2B79"/>
    <w:rsid w:val="006F2F9B"/>
    <w:rsid w:val="006F3E88"/>
    <w:rsid w:val="00701441"/>
    <w:rsid w:val="007030DC"/>
    <w:rsid w:val="00704FFA"/>
    <w:rsid w:val="007071FE"/>
    <w:rsid w:val="007077BE"/>
    <w:rsid w:val="00710EC7"/>
    <w:rsid w:val="0071117B"/>
    <w:rsid w:val="007112F3"/>
    <w:rsid w:val="00712C4B"/>
    <w:rsid w:val="00712C81"/>
    <w:rsid w:val="00713993"/>
    <w:rsid w:val="00713B1C"/>
    <w:rsid w:val="007155CF"/>
    <w:rsid w:val="007156D1"/>
    <w:rsid w:val="00715A5B"/>
    <w:rsid w:val="00715DD0"/>
    <w:rsid w:val="00716916"/>
    <w:rsid w:val="0071733B"/>
    <w:rsid w:val="00717DC8"/>
    <w:rsid w:val="00720F63"/>
    <w:rsid w:val="0072111B"/>
    <w:rsid w:val="00721511"/>
    <w:rsid w:val="00722396"/>
    <w:rsid w:val="0072259D"/>
    <w:rsid w:val="00723AA9"/>
    <w:rsid w:val="00724BE3"/>
    <w:rsid w:val="007259A9"/>
    <w:rsid w:val="00726482"/>
    <w:rsid w:val="00726EC7"/>
    <w:rsid w:val="00727621"/>
    <w:rsid w:val="007331C9"/>
    <w:rsid w:val="007333F9"/>
    <w:rsid w:val="00734383"/>
    <w:rsid w:val="00734476"/>
    <w:rsid w:val="007350FA"/>
    <w:rsid w:val="007351D0"/>
    <w:rsid w:val="00735DFB"/>
    <w:rsid w:val="007366AA"/>
    <w:rsid w:val="00736886"/>
    <w:rsid w:val="007370DE"/>
    <w:rsid w:val="00737FAE"/>
    <w:rsid w:val="00740924"/>
    <w:rsid w:val="00740EC1"/>
    <w:rsid w:val="007423C2"/>
    <w:rsid w:val="00742794"/>
    <w:rsid w:val="00742922"/>
    <w:rsid w:val="00750874"/>
    <w:rsid w:val="00751314"/>
    <w:rsid w:val="007533AE"/>
    <w:rsid w:val="0075352F"/>
    <w:rsid w:val="00756E8A"/>
    <w:rsid w:val="00756EFD"/>
    <w:rsid w:val="0076013D"/>
    <w:rsid w:val="00760E4A"/>
    <w:rsid w:val="00762E49"/>
    <w:rsid w:val="00764AED"/>
    <w:rsid w:val="00764B36"/>
    <w:rsid w:val="00765806"/>
    <w:rsid w:val="00772033"/>
    <w:rsid w:val="0077425D"/>
    <w:rsid w:val="00776438"/>
    <w:rsid w:val="0077660E"/>
    <w:rsid w:val="007817C1"/>
    <w:rsid w:val="00783C3F"/>
    <w:rsid w:val="007856AF"/>
    <w:rsid w:val="00785D7A"/>
    <w:rsid w:val="00786F4D"/>
    <w:rsid w:val="007900BA"/>
    <w:rsid w:val="00790260"/>
    <w:rsid w:val="00791435"/>
    <w:rsid w:val="00791759"/>
    <w:rsid w:val="00795743"/>
    <w:rsid w:val="007962A0"/>
    <w:rsid w:val="00796F5C"/>
    <w:rsid w:val="007971A4"/>
    <w:rsid w:val="0079763C"/>
    <w:rsid w:val="007A0C84"/>
    <w:rsid w:val="007A1A00"/>
    <w:rsid w:val="007A26E4"/>
    <w:rsid w:val="007A43F7"/>
    <w:rsid w:val="007A482D"/>
    <w:rsid w:val="007A4BCA"/>
    <w:rsid w:val="007A50E0"/>
    <w:rsid w:val="007A5AF4"/>
    <w:rsid w:val="007A5D0B"/>
    <w:rsid w:val="007B0288"/>
    <w:rsid w:val="007B12ED"/>
    <w:rsid w:val="007B1615"/>
    <w:rsid w:val="007B1716"/>
    <w:rsid w:val="007B7B65"/>
    <w:rsid w:val="007C1019"/>
    <w:rsid w:val="007C1292"/>
    <w:rsid w:val="007C605C"/>
    <w:rsid w:val="007C7A09"/>
    <w:rsid w:val="007C7BE3"/>
    <w:rsid w:val="007C7F01"/>
    <w:rsid w:val="007D06F2"/>
    <w:rsid w:val="007D1009"/>
    <w:rsid w:val="007D1439"/>
    <w:rsid w:val="007D1D6F"/>
    <w:rsid w:val="007D2271"/>
    <w:rsid w:val="007D398B"/>
    <w:rsid w:val="007D441C"/>
    <w:rsid w:val="007D498A"/>
    <w:rsid w:val="007D4F8B"/>
    <w:rsid w:val="007D52A9"/>
    <w:rsid w:val="007D6F37"/>
    <w:rsid w:val="007D78CF"/>
    <w:rsid w:val="007D7D5E"/>
    <w:rsid w:val="007D7D6E"/>
    <w:rsid w:val="007E1736"/>
    <w:rsid w:val="007E454A"/>
    <w:rsid w:val="007E4F7E"/>
    <w:rsid w:val="007E758D"/>
    <w:rsid w:val="007F0717"/>
    <w:rsid w:val="007F1538"/>
    <w:rsid w:val="007F3533"/>
    <w:rsid w:val="007F53D5"/>
    <w:rsid w:val="007F7B60"/>
    <w:rsid w:val="007F7DD2"/>
    <w:rsid w:val="00800ADB"/>
    <w:rsid w:val="00800DBF"/>
    <w:rsid w:val="00802024"/>
    <w:rsid w:val="00802672"/>
    <w:rsid w:val="00803AFD"/>
    <w:rsid w:val="008048CB"/>
    <w:rsid w:val="00806195"/>
    <w:rsid w:val="008066E5"/>
    <w:rsid w:val="0080797C"/>
    <w:rsid w:val="008110CD"/>
    <w:rsid w:val="008125A5"/>
    <w:rsid w:val="0081352C"/>
    <w:rsid w:val="00813770"/>
    <w:rsid w:val="008152A6"/>
    <w:rsid w:val="00816A59"/>
    <w:rsid w:val="00817126"/>
    <w:rsid w:val="00820F1B"/>
    <w:rsid w:val="0082105A"/>
    <w:rsid w:val="00821D70"/>
    <w:rsid w:val="0082292D"/>
    <w:rsid w:val="00822C0E"/>
    <w:rsid w:val="00823978"/>
    <w:rsid w:val="00824706"/>
    <w:rsid w:val="008249C3"/>
    <w:rsid w:val="00825551"/>
    <w:rsid w:val="00825ED4"/>
    <w:rsid w:val="00825EFF"/>
    <w:rsid w:val="008260AB"/>
    <w:rsid w:val="00826136"/>
    <w:rsid w:val="008315F7"/>
    <w:rsid w:val="00831A6D"/>
    <w:rsid w:val="008325A4"/>
    <w:rsid w:val="00832A7C"/>
    <w:rsid w:val="00832CF3"/>
    <w:rsid w:val="008337C4"/>
    <w:rsid w:val="00835AA3"/>
    <w:rsid w:val="00836901"/>
    <w:rsid w:val="00836BDD"/>
    <w:rsid w:val="00842423"/>
    <w:rsid w:val="008430D8"/>
    <w:rsid w:val="0084411C"/>
    <w:rsid w:val="008469FD"/>
    <w:rsid w:val="00850305"/>
    <w:rsid w:val="00851582"/>
    <w:rsid w:val="00852F08"/>
    <w:rsid w:val="008539A6"/>
    <w:rsid w:val="008548D3"/>
    <w:rsid w:val="00855483"/>
    <w:rsid w:val="00855A46"/>
    <w:rsid w:val="008566E6"/>
    <w:rsid w:val="0085714E"/>
    <w:rsid w:val="008572CF"/>
    <w:rsid w:val="00860E87"/>
    <w:rsid w:val="008645B2"/>
    <w:rsid w:val="00865CC2"/>
    <w:rsid w:val="008667D7"/>
    <w:rsid w:val="00866E18"/>
    <w:rsid w:val="008712DD"/>
    <w:rsid w:val="008725C1"/>
    <w:rsid w:val="00873D90"/>
    <w:rsid w:val="00873FF2"/>
    <w:rsid w:val="00874A73"/>
    <w:rsid w:val="008751E4"/>
    <w:rsid w:val="008757B1"/>
    <w:rsid w:val="008760A4"/>
    <w:rsid w:val="0087664B"/>
    <w:rsid w:val="00877624"/>
    <w:rsid w:val="00877745"/>
    <w:rsid w:val="00877F41"/>
    <w:rsid w:val="00880112"/>
    <w:rsid w:val="00885E36"/>
    <w:rsid w:val="00885EAA"/>
    <w:rsid w:val="0088645C"/>
    <w:rsid w:val="008923F8"/>
    <w:rsid w:val="00892A71"/>
    <w:rsid w:val="00892C70"/>
    <w:rsid w:val="0089504C"/>
    <w:rsid w:val="008961D9"/>
    <w:rsid w:val="008973DE"/>
    <w:rsid w:val="008973F1"/>
    <w:rsid w:val="008A0214"/>
    <w:rsid w:val="008A2D84"/>
    <w:rsid w:val="008A4892"/>
    <w:rsid w:val="008A4F52"/>
    <w:rsid w:val="008B0311"/>
    <w:rsid w:val="008B18E3"/>
    <w:rsid w:val="008B1BC9"/>
    <w:rsid w:val="008B26EC"/>
    <w:rsid w:val="008B2BE5"/>
    <w:rsid w:val="008B42AF"/>
    <w:rsid w:val="008B43FA"/>
    <w:rsid w:val="008B5C4F"/>
    <w:rsid w:val="008B5C85"/>
    <w:rsid w:val="008B6569"/>
    <w:rsid w:val="008B6867"/>
    <w:rsid w:val="008B7C00"/>
    <w:rsid w:val="008C0E8F"/>
    <w:rsid w:val="008C1EAB"/>
    <w:rsid w:val="008C355A"/>
    <w:rsid w:val="008C40EB"/>
    <w:rsid w:val="008C5018"/>
    <w:rsid w:val="008C540E"/>
    <w:rsid w:val="008C54F0"/>
    <w:rsid w:val="008C5663"/>
    <w:rsid w:val="008C6177"/>
    <w:rsid w:val="008C68E6"/>
    <w:rsid w:val="008C78A5"/>
    <w:rsid w:val="008D0E78"/>
    <w:rsid w:val="008D1118"/>
    <w:rsid w:val="008D2350"/>
    <w:rsid w:val="008D2BFF"/>
    <w:rsid w:val="008D3487"/>
    <w:rsid w:val="008D3E44"/>
    <w:rsid w:val="008D64D7"/>
    <w:rsid w:val="008D6DD7"/>
    <w:rsid w:val="008E075A"/>
    <w:rsid w:val="008E296F"/>
    <w:rsid w:val="008E4AC1"/>
    <w:rsid w:val="008E55B1"/>
    <w:rsid w:val="008E5B64"/>
    <w:rsid w:val="008F3C85"/>
    <w:rsid w:val="008F423F"/>
    <w:rsid w:val="008F5298"/>
    <w:rsid w:val="008F66D2"/>
    <w:rsid w:val="008F7D25"/>
    <w:rsid w:val="008F7D89"/>
    <w:rsid w:val="0090060D"/>
    <w:rsid w:val="00901928"/>
    <w:rsid w:val="009023C0"/>
    <w:rsid w:val="00903360"/>
    <w:rsid w:val="00905C62"/>
    <w:rsid w:val="00906051"/>
    <w:rsid w:val="00906DCB"/>
    <w:rsid w:val="00907E6A"/>
    <w:rsid w:val="0091201D"/>
    <w:rsid w:val="00913656"/>
    <w:rsid w:val="00913D5C"/>
    <w:rsid w:val="00914C53"/>
    <w:rsid w:val="00914CA4"/>
    <w:rsid w:val="00915549"/>
    <w:rsid w:val="0091724E"/>
    <w:rsid w:val="00917F72"/>
    <w:rsid w:val="0092099C"/>
    <w:rsid w:val="00920F66"/>
    <w:rsid w:val="009211E0"/>
    <w:rsid w:val="00922EB8"/>
    <w:rsid w:val="009237BF"/>
    <w:rsid w:val="00924967"/>
    <w:rsid w:val="009251F9"/>
    <w:rsid w:val="00926860"/>
    <w:rsid w:val="00926C79"/>
    <w:rsid w:val="00927061"/>
    <w:rsid w:val="00927EED"/>
    <w:rsid w:val="00930044"/>
    <w:rsid w:val="00930CF6"/>
    <w:rsid w:val="009319F0"/>
    <w:rsid w:val="009335BF"/>
    <w:rsid w:val="00933720"/>
    <w:rsid w:val="00933D35"/>
    <w:rsid w:val="009351EF"/>
    <w:rsid w:val="0093535C"/>
    <w:rsid w:val="0093572A"/>
    <w:rsid w:val="00936CA1"/>
    <w:rsid w:val="009374D2"/>
    <w:rsid w:val="009376AA"/>
    <w:rsid w:val="00937C90"/>
    <w:rsid w:val="0094306F"/>
    <w:rsid w:val="009433F8"/>
    <w:rsid w:val="00943B33"/>
    <w:rsid w:val="00946768"/>
    <w:rsid w:val="00946F79"/>
    <w:rsid w:val="009473BC"/>
    <w:rsid w:val="00952FED"/>
    <w:rsid w:val="00953985"/>
    <w:rsid w:val="009545C6"/>
    <w:rsid w:val="00955867"/>
    <w:rsid w:val="0096025A"/>
    <w:rsid w:val="00962056"/>
    <w:rsid w:val="009630CB"/>
    <w:rsid w:val="00963702"/>
    <w:rsid w:val="0096423F"/>
    <w:rsid w:val="009643D1"/>
    <w:rsid w:val="00964C57"/>
    <w:rsid w:val="00964D1A"/>
    <w:rsid w:val="00964ECA"/>
    <w:rsid w:val="00965AB3"/>
    <w:rsid w:val="0096664D"/>
    <w:rsid w:val="009674FE"/>
    <w:rsid w:val="00970B10"/>
    <w:rsid w:val="00973157"/>
    <w:rsid w:val="00974159"/>
    <w:rsid w:val="009748C8"/>
    <w:rsid w:val="00974A68"/>
    <w:rsid w:val="0097655D"/>
    <w:rsid w:val="00976AA5"/>
    <w:rsid w:val="00976F26"/>
    <w:rsid w:val="00976FBA"/>
    <w:rsid w:val="00977910"/>
    <w:rsid w:val="009806AB"/>
    <w:rsid w:val="009816B9"/>
    <w:rsid w:val="00983E86"/>
    <w:rsid w:val="009862B4"/>
    <w:rsid w:val="0098650E"/>
    <w:rsid w:val="00987B13"/>
    <w:rsid w:val="0099223F"/>
    <w:rsid w:val="00994C63"/>
    <w:rsid w:val="00995404"/>
    <w:rsid w:val="009973A9"/>
    <w:rsid w:val="00997CCD"/>
    <w:rsid w:val="009A1B36"/>
    <w:rsid w:val="009A2461"/>
    <w:rsid w:val="009A39C4"/>
    <w:rsid w:val="009A3A29"/>
    <w:rsid w:val="009A6AE0"/>
    <w:rsid w:val="009A7E12"/>
    <w:rsid w:val="009B0862"/>
    <w:rsid w:val="009B0E63"/>
    <w:rsid w:val="009B10E4"/>
    <w:rsid w:val="009B1993"/>
    <w:rsid w:val="009B274A"/>
    <w:rsid w:val="009B6271"/>
    <w:rsid w:val="009B7157"/>
    <w:rsid w:val="009B75EE"/>
    <w:rsid w:val="009B76AC"/>
    <w:rsid w:val="009C127B"/>
    <w:rsid w:val="009C3C4F"/>
    <w:rsid w:val="009C53E4"/>
    <w:rsid w:val="009C5955"/>
    <w:rsid w:val="009C5978"/>
    <w:rsid w:val="009C5F57"/>
    <w:rsid w:val="009C6F8C"/>
    <w:rsid w:val="009C72AC"/>
    <w:rsid w:val="009C7BA3"/>
    <w:rsid w:val="009C7DB9"/>
    <w:rsid w:val="009D07C4"/>
    <w:rsid w:val="009D24C2"/>
    <w:rsid w:val="009D273E"/>
    <w:rsid w:val="009D28AC"/>
    <w:rsid w:val="009D3982"/>
    <w:rsid w:val="009D5157"/>
    <w:rsid w:val="009E18C1"/>
    <w:rsid w:val="009E1D50"/>
    <w:rsid w:val="009E1DF2"/>
    <w:rsid w:val="009E397B"/>
    <w:rsid w:val="009E6DE0"/>
    <w:rsid w:val="009E7FD8"/>
    <w:rsid w:val="009F008E"/>
    <w:rsid w:val="009F083D"/>
    <w:rsid w:val="009F164E"/>
    <w:rsid w:val="009F1F4B"/>
    <w:rsid w:val="009F2235"/>
    <w:rsid w:val="009F4B5E"/>
    <w:rsid w:val="009F5ADC"/>
    <w:rsid w:val="00A01280"/>
    <w:rsid w:val="00A0260B"/>
    <w:rsid w:val="00A02AE1"/>
    <w:rsid w:val="00A03468"/>
    <w:rsid w:val="00A03C41"/>
    <w:rsid w:val="00A03EDC"/>
    <w:rsid w:val="00A03F24"/>
    <w:rsid w:val="00A04804"/>
    <w:rsid w:val="00A04B1E"/>
    <w:rsid w:val="00A0555E"/>
    <w:rsid w:val="00A056A1"/>
    <w:rsid w:val="00A06C34"/>
    <w:rsid w:val="00A105E0"/>
    <w:rsid w:val="00A117D5"/>
    <w:rsid w:val="00A11C71"/>
    <w:rsid w:val="00A13A4D"/>
    <w:rsid w:val="00A13C18"/>
    <w:rsid w:val="00A13D03"/>
    <w:rsid w:val="00A14796"/>
    <w:rsid w:val="00A1686F"/>
    <w:rsid w:val="00A16ABB"/>
    <w:rsid w:val="00A20B6F"/>
    <w:rsid w:val="00A21ED1"/>
    <w:rsid w:val="00A23C6C"/>
    <w:rsid w:val="00A241D3"/>
    <w:rsid w:val="00A245B1"/>
    <w:rsid w:val="00A2488D"/>
    <w:rsid w:val="00A24B46"/>
    <w:rsid w:val="00A24E41"/>
    <w:rsid w:val="00A26E0E"/>
    <w:rsid w:val="00A31FC8"/>
    <w:rsid w:val="00A3261B"/>
    <w:rsid w:val="00A32BC3"/>
    <w:rsid w:val="00A3405B"/>
    <w:rsid w:val="00A34835"/>
    <w:rsid w:val="00A34897"/>
    <w:rsid w:val="00A34A99"/>
    <w:rsid w:val="00A35365"/>
    <w:rsid w:val="00A355BD"/>
    <w:rsid w:val="00A37885"/>
    <w:rsid w:val="00A40F12"/>
    <w:rsid w:val="00A412E7"/>
    <w:rsid w:val="00A41ABA"/>
    <w:rsid w:val="00A43211"/>
    <w:rsid w:val="00A4337C"/>
    <w:rsid w:val="00A4403B"/>
    <w:rsid w:val="00A44234"/>
    <w:rsid w:val="00A45FE3"/>
    <w:rsid w:val="00A46630"/>
    <w:rsid w:val="00A46B72"/>
    <w:rsid w:val="00A47519"/>
    <w:rsid w:val="00A5018C"/>
    <w:rsid w:val="00A5058E"/>
    <w:rsid w:val="00A50D86"/>
    <w:rsid w:val="00A51464"/>
    <w:rsid w:val="00A52939"/>
    <w:rsid w:val="00A52A1F"/>
    <w:rsid w:val="00A53135"/>
    <w:rsid w:val="00A5510E"/>
    <w:rsid w:val="00A55273"/>
    <w:rsid w:val="00A56207"/>
    <w:rsid w:val="00A57550"/>
    <w:rsid w:val="00A61915"/>
    <w:rsid w:val="00A61A62"/>
    <w:rsid w:val="00A61ABD"/>
    <w:rsid w:val="00A62CF9"/>
    <w:rsid w:val="00A64F1D"/>
    <w:rsid w:val="00A666AD"/>
    <w:rsid w:val="00A677F7"/>
    <w:rsid w:val="00A70347"/>
    <w:rsid w:val="00A71705"/>
    <w:rsid w:val="00A71C52"/>
    <w:rsid w:val="00A739E8"/>
    <w:rsid w:val="00A73AD2"/>
    <w:rsid w:val="00A73D88"/>
    <w:rsid w:val="00A77937"/>
    <w:rsid w:val="00A80232"/>
    <w:rsid w:val="00A81748"/>
    <w:rsid w:val="00A841A9"/>
    <w:rsid w:val="00A8425A"/>
    <w:rsid w:val="00A864B1"/>
    <w:rsid w:val="00A867CB"/>
    <w:rsid w:val="00A86922"/>
    <w:rsid w:val="00A87504"/>
    <w:rsid w:val="00A87638"/>
    <w:rsid w:val="00A87CD3"/>
    <w:rsid w:val="00A90EC9"/>
    <w:rsid w:val="00A91233"/>
    <w:rsid w:val="00A91F83"/>
    <w:rsid w:val="00A946FF"/>
    <w:rsid w:val="00A95EFC"/>
    <w:rsid w:val="00A963FC"/>
    <w:rsid w:val="00AA12A9"/>
    <w:rsid w:val="00AA1323"/>
    <w:rsid w:val="00AA192B"/>
    <w:rsid w:val="00AA4292"/>
    <w:rsid w:val="00AA6EBE"/>
    <w:rsid w:val="00AA6F30"/>
    <w:rsid w:val="00AA70EC"/>
    <w:rsid w:val="00AB05FD"/>
    <w:rsid w:val="00AB174D"/>
    <w:rsid w:val="00AB200A"/>
    <w:rsid w:val="00AB2FD9"/>
    <w:rsid w:val="00AB3589"/>
    <w:rsid w:val="00AB3928"/>
    <w:rsid w:val="00AB3EE7"/>
    <w:rsid w:val="00AB4475"/>
    <w:rsid w:val="00AB457A"/>
    <w:rsid w:val="00AB5028"/>
    <w:rsid w:val="00AB5236"/>
    <w:rsid w:val="00AB52C5"/>
    <w:rsid w:val="00AC27D6"/>
    <w:rsid w:val="00AC3898"/>
    <w:rsid w:val="00AC6F5F"/>
    <w:rsid w:val="00AC74C9"/>
    <w:rsid w:val="00AC799D"/>
    <w:rsid w:val="00AD01B0"/>
    <w:rsid w:val="00AD1163"/>
    <w:rsid w:val="00AD17E3"/>
    <w:rsid w:val="00AD302A"/>
    <w:rsid w:val="00AD3545"/>
    <w:rsid w:val="00AD5F07"/>
    <w:rsid w:val="00AD6341"/>
    <w:rsid w:val="00AD750B"/>
    <w:rsid w:val="00AD788B"/>
    <w:rsid w:val="00AE0C82"/>
    <w:rsid w:val="00AE124C"/>
    <w:rsid w:val="00AE1B19"/>
    <w:rsid w:val="00AE26F0"/>
    <w:rsid w:val="00AE3EFB"/>
    <w:rsid w:val="00AE4002"/>
    <w:rsid w:val="00AE6332"/>
    <w:rsid w:val="00AE6941"/>
    <w:rsid w:val="00AE6EEB"/>
    <w:rsid w:val="00AF07B9"/>
    <w:rsid w:val="00AF0F21"/>
    <w:rsid w:val="00AF1E79"/>
    <w:rsid w:val="00AF2816"/>
    <w:rsid w:val="00AF2B8A"/>
    <w:rsid w:val="00AF3B3C"/>
    <w:rsid w:val="00AF4AFC"/>
    <w:rsid w:val="00AF4FB5"/>
    <w:rsid w:val="00AF74D4"/>
    <w:rsid w:val="00B01019"/>
    <w:rsid w:val="00B02C88"/>
    <w:rsid w:val="00B0384C"/>
    <w:rsid w:val="00B04AEB"/>
    <w:rsid w:val="00B06AE3"/>
    <w:rsid w:val="00B101FB"/>
    <w:rsid w:val="00B1395D"/>
    <w:rsid w:val="00B13E7D"/>
    <w:rsid w:val="00B15B58"/>
    <w:rsid w:val="00B20CF7"/>
    <w:rsid w:val="00B210FE"/>
    <w:rsid w:val="00B225DF"/>
    <w:rsid w:val="00B23177"/>
    <w:rsid w:val="00B2387B"/>
    <w:rsid w:val="00B25115"/>
    <w:rsid w:val="00B27CE5"/>
    <w:rsid w:val="00B308EA"/>
    <w:rsid w:val="00B33866"/>
    <w:rsid w:val="00B33D4E"/>
    <w:rsid w:val="00B3400B"/>
    <w:rsid w:val="00B35049"/>
    <w:rsid w:val="00B352E6"/>
    <w:rsid w:val="00B3639B"/>
    <w:rsid w:val="00B370C3"/>
    <w:rsid w:val="00B3787D"/>
    <w:rsid w:val="00B401E6"/>
    <w:rsid w:val="00B418EC"/>
    <w:rsid w:val="00B41A08"/>
    <w:rsid w:val="00B41D41"/>
    <w:rsid w:val="00B42B01"/>
    <w:rsid w:val="00B42D88"/>
    <w:rsid w:val="00B436C2"/>
    <w:rsid w:val="00B44D13"/>
    <w:rsid w:val="00B45CA3"/>
    <w:rsid w:val="00B475BF"/>
    <w:rsid w:val="00B5035A"/>
    <w:rsid w:val="00B50531"/>
    <w:rsid w:val="00B50931"/>
    <w:rsid w:val="00B52B54"/>
    <w:rsid w:val="00B532A7"/>
    <w:rsid w:val="00B54D78"/>
    <w:rsid w:val="00B55C02"/>
    <w:rsid w:val="00B560E6"/>
    <w:rsid w:val="00B57351"/>
    <w:rsid w:val="00B60703"/>
    <w:rsid w:val="00B60E03"/>
    <w:rsid w:val="00B62754"/>
    <w:rsid w:val="00B63A4C"/>
    <w:rsid w:val="00B63CB7"/>
    <w:rsid w:val="00B641C6"/>
    <w:rsid w:val="00B64C13"/>
    <w:rsid w:val="00B64C66"/>
    <w:rsid w:val="00B67161"/>
    <w:rsid w:val="00B67B8D"/>
    <w:rsid w:val="00B73260"/>
    <w:rsid w:val="00B74549"/>
    <w:rsid w:val="00B74701"/>
    <w:rsid w:val="00B749CF"/>
    <w:rsid w:val="00B74AAA"/>
    <w:rsid w:val="00B74C49"/>
    <w:rsid w:val="00B74FF1"/>
    <w:rsid w:val="00B76803"/>
    <w:rsid w:val="00B77C16"/>
    <w:rsid w:val="00B77EF5"/>
    <w:rsid w:val="00B80363"/>
    <w:rsid w:val="00B804B0"/>
    <w:rsid w:val="00B80684"/>
    <w:rsid w:val="00B80B85"/>
    <w:rsid w:val="00B84015"/>
    <w:rsid w:val="00B84111"/>
    <w:rsid w:val="00B84E46"/>
    <w:rsid w:val="00B85078"/>
    <w:rsid w:val="00B94218"/>
    <w:rsid w:val="00B95795"/>
    <w:rsid w:val="00B96932"/>
    <w:rsid w:val="00B96E32"/>
    <w:rsid w:val="00B97A8E"/>
    <w:rsid w:val="00BA0F69"/>
    <w:rsid w:val="00BA2CC9"/>
    <w:rsid w:val="00BA2FAD"/>
    <w:rsid w:val="00BA4B41"/>
    <w:rsid w:val="00BA5633"/>
    <w:rsid w:val="00BA6787"/>
    <w:rsid w:val="00BA77AD"/>
    <w:rsid w:val="00BA7A26"/>
    <w:rsid w:val="00BA7DC5"/>
    <w:rsid w:val="00BB03B6"/>
    <w:rsid w:val="00BB0AE5"/>
    <w:rsid w:val="00BB19B2"/>
    <w:rsid w:val="00BB1CE4"/>
    <w:rsid w:val="00BB205D"/>
    <w:rsid w:val="00BB2090"/>
    <w:rsid w:val="00BB3DA8"/>
    <w:rsid w:val="00BB4137"/>
    <w:rsid w:val="00BB4F5E"/>
    <w:rsid w:val="00BB50AD"/>
    <w:rsid w:val="00BB53A8"/>
    <w:rsid w:val="00BC004F"/>
    <w:rsid w:val="00BC03AD"/>
    <w:rsid w:val="00BC4C21"/>
    <w:rsid w:val="00BC5629"/>
    <w:rsid w:val="00BC56A8"/>
    <w:rsid w:val="00BC6D8B"/>
    <w:rsid w:val="00BC73C2"/>
    <w:rsid w:val="00BD43A8"/>
    <w:rsid w:val="00BD449D"/>
    <w:rsid w:val="00BD462A"/>
    <w:rsid w:val="00BD5F46"/>
    <w:rsid w:val="00BD67DA"/>
    <w:rsid w:val="00BD6C75"/>
    <w:rsid w:val="00BE0473"/>
    <w:rsid w:val="00BE0BCB"/>
    <w:rsid w:val="00BE0D39"/>
    <w:rsid w:val="00BE14EA"/>
    <w:rsid w:val="00BE2388"/>
    <w:rsid w:val="00BE3061"/>
    <w:rsid w:val="00BE3772"/>
    <w:rsid w:val="00BE54A2"/>
    <w:rsid w:val="00BE65D4"/>
    <w:rsid w:val="00BE6CBB"/>
    <w:rsid w:val="00BE72FF"/>
    <w:rsid w:val="00BF03B7"/>
    <w:rsid w:val="00BF4927"/>
    <w:rsid w:val="00BF4B1C"/>
    <w:rsid w:val="00BF5866"/>
    <w:rsid w:val="00BF6BE3"/>
    <w:rsid w:val="00BF725E"/>
    <w:rsid w:val="00BF76FC"/>
    <w:rsid w:val="00C0005D"/>
    <w:rsid w:val="00C0016F"/>
    <w:rsid w:val="00C01483"/>
    <w:rsid w:val="00C05916"/>
    <w:rsid w:val="00C0693A"/>
    <w:rsid w:val="00C06A75"/>
    <w:rsid w:val="00C06C81"/>
    <w:rsid w:val="00C07BED"/>
    <w:rsid w:val="00C10974"/>
    <w:rsid w:val="00C10B46"/>
    <w:rsid w:val="00C12FEE"/>
    <w:rsid w:val="00C133E3"/>
    <w:rsid w:val="00C13A2D"/>
    <w:rsid w:val="00C146C3"/>
    <w:rsid w:val="00C147B6"/>
    <w:rsid w:val="00C163D2"/>
    <w:rsid w:val="00C16DCD"/>
    <w:rsid w:val="00C200BE"/>
    <w:rsid w:val="00C2160B"/>
    <w:rsid w:val="00C21ACD"/>
    <w:rsid w:val="00C23BF0"/>
    <w:rsid w:val="00C2439A"/>
    <w:rsid w:val="00C24DCF"/>
    <w:rsid w:val="00C25E45"/>
    <w:rsid w:val="00C25E5A"/>
    <w:rsid w:val="00C272DA"/>
    <w:rsid w:val="00C27E64"/>
    <w:rsid w:val="00C30D11"/>
    <w:rsid w:val="00C33984"/>
    <w:rsid w:val="00C344A7"/>
    <w:rsid w:val="00C349D8"/>
    <w:rsid w:val="00C358F4"/>
    <w:rsid w:val="00C40F64"/>
    <w:rsid w:val="00C463A8"/>
    <w:rsid w:val="00C51586"/>
    <w:rsid w:val="00C516CE"/>
    <w:rsid w:val="00C51CE3"/>
    <w:rsid w:val="00C52452"/>
    <w:rsid w:val="00C53403"/>
    <w:rsid w:val="00C56720"/>
    <w:rsid w:val="00C56F0E"/>
    <w:rsid w:val="00C60D57"/>
    <w:rsid w:val="00C633F4"/>
    <w:rsid w:val="00C64575"/>
    <w:rsid w:val="00C64FC9"/>
    <w:rsid w:val="00C65F0C"/>
    <w:rsid w:val="00C66FC3"/>
    <w:rsid w:val="00C70DC5"/>
    <w:rsid w:val="00C713CA"/>
    <w:rsid w:val="00C715D1"/>
    <w:rsid w:val="00C71C84"/>
    <w:rsid w:val="00C72576"/>
    <w:rsid w:val="00C73F38"/>
    <w:rsid w:val="00C76529"/>
    <w:rsid w:val="00C76577"/>
    <w:rsid w:val="00C76B22"/>
    <w:rsid w:val="00C81B77"/>
    <w:rsid w:val="00C83076"/>
    <w:rsid w:val="00C83789"/>
    <w:rsid w:val="00C845DA"/>
    <w:rsid w:val="00C85AA7"/>
    <w:rsid w:val="00C87AFF"/>
    <w:rsid w:val="00C9039B"/>
    <w:rsid w:val="00C9052F"/>
    <w:rsid w:val="00C90E16"/>
    <w:rsid w:val="00C91219"/>
    <w:rsid w:val="00C93454"/>
    <w:rsid w:val="00C9791A"/>
    <w:rsid w:val="00CA0558"/>
    <w:rsid w:val="00CA1C80"/>
    <w:rsid w:val="00CA3C55"/>
    <w:rsid w:val="00CA53F8"/>
    <w:rsid w:val="00CA7CF5"/>
    <w:rsid w:val="00CB09D4"/>
    <w:rsid w:val="00CB1577"/>
    <w:rsid w:val="00CB1801"/>
    <w:rsid w:val="00CB224E"/>
    <w:rsid w:val="00CB25C7"/>
    <w:rsid w:val="00CB2A94"/>
    <w:rsid w:val="00CB35A0"/>
    <w:rsid w:val="00CB3A57"/>
    <w:rsid w:val="00CB3E00"/>
    <w:rsid w:val="00CB66FB"/>
    <w:rsid w:val="00CB7E63"/>
    <w:rsid w:val="00CC1247"/>
    <w:rsid w:val="00CC170C"/>
    <w:rsid w:val="00CC1D25"/>
    <w:rsid w:val="00CC1D40"/>
    <w:rsid w:val="00CC26CB"/>
    <w:rsid w:val="00CC2FC7"/>
    <w:rsid w:val="00CC3651"/>
    <w:rsid w:val="00CC3CAD"/>
    <w:rsid w:val="00CC3F38"/>
    <w:rsid w:val="00CC7335"/>
    <w:rsid w:val="00CD0BA4"/>
    <w:rsid w:val="00CD2288"/>
    <w:rsid w:val="00CD2351"/>
    <w:rsid w:val="00CD32BE"/>
    <w:rsid w:val="00CD4D8B"/>
    <w:rsid w:val="00CD5562"/>
    <w:rsid w:val="00CD77BA"/>
    <w:rsid w:val="00CE0BD4"/>
    <w:rsid w:val="00CE14B2"/>
    <w:rsid w:val="00CE16C5"/>
    <w:rsid w:val="00CE4090"/>
    <w:rsid w:val="00CE7819"/>
    <w:rsid w:val="00CE7921"/>
    <w:rsid w:val="00CF0634"/>
    <w:rsid w:val="00CF1354"/>
    <w:rsid w:val="00CF347C"/>
    <w:rsid w:val="00CF3DB7"/>
    <w:rsid w:val="00CF4B02"/>
    <w:rsid w:val="00CF511B"/>
    <w:rsid w:val="00CF57E8"/>
    <w:rsid w:val="00CF7212"/>
    <w:rsid w:val="00CF7806"/>
    <w:rsid w:val="00CF794F"/>
    <w:rsid w:val="00D00EDC"/>
    <w:rsid w:val="00D024EF"/>
    <w:rsid w:val="00D0371B"/>
    <w:rsid w:val="00D0402D"/>
    <w:rsid w:val="00D046B6"/>
    <w:rsid w:val="00D0521E"/>
    <w:rsid w:val="00D057EF"/>
    <w:rsid w:val="00D057F6"/>
    <w:rsid w:val="00D05885"/>
    <w:rsid w:val="00D06CA4"/>
    <w:rsid w:val="00D10993"/>
    <w:rsid w:val="00D118FB"/>
    <w:rsid w:val="00D12BCC"/>
    <w:rsid w:val="00D134B2"/>
    <w:rsid w:val="00D13DF6"/>
    <w:rsid w:val="00D14093"/>
    <w:rsid w:val="00D16670"/>
    <w:rsid w:val="00D1725B"/>
    <w:rsid w:val="00D17C2D"/>
    <w:rsid w:val="00D20CED"/>
    <w:rsid w:val="00D223F5"/>
    <w:rsid w:val="00D22427"/>
    <w:rsid w:val="00D22816"/>
    <w:rsid w:val="00D22A6E"/>
    <w:rsid w:val="00D22C22"/>
    <w:rsid w:val="00D2555D"/>
    <w:rsid w:val="00D25FF9"/>
    <w:rsid w:val="00D264BF"/>
    <w:rsid w:val="00D30409"/>
    <w:rsid w:val="00D31182"/>
    <w:rsid w:val="00D31FF0"/>
    <w:rsid w:val="00D34012"/>
    <w:rsid w:val="00D343F9"/>
    <w:rsid w:val="00D3546B"/>
    <w:rsid w:val="00D403D6"/>
    <w:rsid w:val="00D4094B"/>
    <w:rsid w:val="00D41015"/>
    <w:rsid w:val="00D42C23"/>
    <w:rsid w:val="00D42F14"/>
    <w:rsid w:val="00D44818"/>
    <w:rsid w:val="00D44F4A"/>
    <w:rsid w:val="00D45A82"/>
    <w:rsid w:val="00D47572"/>
    <w:rsid w:val="00D47631"/>
    <w:rsid w:val="00D5187D"/>
    <w:rsid w:val="00D51AEF"/>
    <w:rsid w:val="00D553F2"/>
    <w:rsid w:val="00D55C4E"/>
    <w:rsid w:val="00D56F3F"/>
    <w:rsid w:val="00D57AF5"/>
    <w:rsid w:val="00D6165B"/>
    <w:rsid w:val="00D61B7C"/>
    <w:rsid w:val="00D63C32"/>
    <w:rsid w:val="00D657C0"/>
    <w:rsid w:val="00D65879"/>
    <w:rsid w:val="00D67491"/>
    <w:rsid w:val="00D71698"/>
    <w:rsid w:val="00D71F89"/>
    <w:rsid w:val="00D74C66"/>
    <w:rsid w:val="00D755BC"/>
    <w:rsid w:val="00D7672B"/>
    <w:rsid w:val="00D76DD4"/>
    <w:rsid w:val="00D76E56"/>
    <w:rsid w:val="00D77E1B"/>
    <w:rsid w:val="00D820FE"/>
    <w:rsid w:val="00D8303E"/>
    <w:rsid w:val="00D85A58"/>
    <w:rsid w:val="00D8627D"/>
    <w:rsid w:val="00D86360"/>
    <w:rsid w:val="00D865BD"/>
    <w:rsid w:val="00D875C3"/>
    <w:rsid w:val="00D87D98"/>
    <w:rsid w:val="00D90AFD"/>
    <w:rsid w:val="00D92C25"/>
    <w:rsid w:val="00D92E50"/>
    <w:rsid w:val="00D9472F"/>
    <w:rsid w:val="00D94EEA"/>
    <w:rsid w:val="00D96DE8"/>
    <w:rsid w:val="00D97EAB"/>
    <w:rsid w:val="00DA0222"/>
    <w:rsid w:val="00DA1BCF"/>
    <w:rsid w:val="00DA3261"/>
    <w:rsid w:val="00DA40FA"/>
    <w:rsid w:val="00DA4BA7"/>
    <w:rsid w:val="00DA69AD"/>
    <w:rsid w:val="00DA7894"/>
    <w:rsid w:val="00DA7C60"/>
    <w:rsid w:val="00DB03FF"/>
    <w:rsid w:val="00DB0ED6"/>
    <w:rsid w:val="00DB1177"/>
    <w:rsid w:val="00DB1380"/>
    <w:rsid w:val="00DB1DE6"/>
    <w:rsid w:val="00DB41D6"/>
    <w:rsid w:val="00DB4ADC"/>
    <w:rsid w:val="00DB5FA9"/>
    <w:rsid w:val="00DB642B"/>
    <w:rsid w:val="00DB68D8"/>
    <w:rsid w:val="00DB6DF6"/>
    <w:rsid w:val="00DC105D"/>
    <w:rsid w:val="00DC2AA1"/>
    <w:rsid w:val="00DC2DF2"/>
    <w:rsid w:val="00DC58ED"/>
    <w:rsid w:val="00DC5FFD"/>
    <w:rsid w:val="00DC6B00"/>
    <w:rsid w:val="00DC7597"/>
    <w:rsid w:val="00DD0178"/>
    <w:rsid w:val="00DD1016"/>
    <w:rsid w:val="00DD1E93"/>
    <w:rsid w:val="00DD302E"/>
    <w:rsid w:val="00DD3240"/>
    <w:rsid w:val="00DD6657"/>
    <w:rsid w:val="00DD6811"/>
    <w:rsid w:val="00DD7FE5"/>
    <w:rsid w:val="00DE0032"/>
    <w:rsid w:val="00DE0B2D"/>
    <w:rsid w:val="00DE15BC"/>
    <w:rsid w:val="00DE28CE"/>
    <w:rsid w:val="00DE3923"/>
    <w:rsid w:val="00DE5280"/>
    <w:rsid w:val="00DE539B"/>
    <w:rsid w:val="00DE6389"/>
    <w:rsid w:val="00DF18D4"/>
    <w:rsid w:val="00DF2CF1"/>
    <w:rsid w:val="00DF5BEA"/>
    <w:rsid w:val="00DF7B94"/>
    <w:rsid w:val="00DF7D1C"/>
    <w:rsid w:val="00E00CA5"/>
    <w:rsid w:val="00E01FAE"/>
    <w:rsid w:val="00E0369C"/>
    <w:rsid w:val="00E03789"/>
    <w:rsid w:val="00E041EB"/>
    <w:rsid w:val="00E0480E"/>
    <w:rsid w:val="00E05D82"/>
    <w:rsid w:val="00E070E9"/>
    <w:rsid w:val="00E07222"/>
    <w:rsid w:val="00E07495"/>
    <w:rsid w:val="00E0786C"/>
    <w:rsid w:val="00E07F58"/>
    <w:rsid w:val="00E07F6D"/>
    <w:rsid w:val="00E10D56"/>
    <w:rsid w:val="00E10FE0"/>
    <w:rsid w:val="00E11924"/>
    <w:rsid w:val="00E12D3D"/>
    <w:rsid w:val="00E17D85"/>
    <w:rsid w:val="00E20AF3"/>
    <w:rsid w:val="00E20FFB"/>
    <w:rsid w:val="00E212B4"/>
    <w:rsid w:val="00E21C42"/>
    <w:rsid w:val="00E21EB4"/>
    <w:rsid w:val="00E22E0F"/>
    <w:rsid w:val="00E24046"/>
    <w:rsid w:val="00E24687"/>
    <w:rsid w:val="00E25718"/>
    <w:rsid w:val="00E25AF6"/>
    <w:rsid w:val="00E26D71"/>
    <w:rsid w:val="00E270A3"/>
    <w:rsid w:val="00E30C06"/>
    <w:rsid w:val="00E31B95"/>
    <w:rsid w:val="00E31FE5"/>
    <w:rsid w:val="00E3341E"/>
    <w:rsid w:val="00E338D2"/>
    <w:rsid w:val="00E34664"/>
    <w:rsid w:val="00E35A89"/>
    <w:rsid w:val="00E36A18"/>
    <w:rsid w:val="00E36F2E"/>
    <w:rsid w:val="00E42F3F"/>
    <w:rsid w:val="00E439AE"/>
    <w:rsid w:val="00E4508C"/>
    <w:rsid w:val="00E50B89"/>
    <w:rsid w:val="00E511D2"/>
    <w:rsid w:val="00E51DDC"/>
    <w:rsid w:val="00E52E43"/>
    <w:rsid w:val="00E54027"/>
    <w:rsid w:val="00E54683"/>
    <w:rsid w:val="00E5496D"/>
    <w:rsid w:val="00E56B44"/>
    <w:rsid w:val="00E57F7F"/>
    <w:rsid w:val="00E6077B"/>
    <w:rsid w:val="00E61BB0"/>
    <w:rsid w:val="00E62985"/>
    <w:rsid w:val="00E62A7F"/>
    <w:rsid w:val="00E62B18"/>
    <w:rsid w:val="00E63389"/>
    <w:rsid w:val="00E64408"/>
    <w:rsid w:val="00E648CD"/>
    <w:rsid w:val="00E64E31"/>
    <w:rsid w:val="00E64FB6"/>
    <w:rsid w:val="00E654DD"/>
    <w:rsid w:val="00E65FE5"/>
    <w:rsid w:val="00E665DA"/>
    <w:rsid w:val="00E67F4A"/>
    <w:rsid w:val="00E70237"/>
    <w:rsid w:val="00E705E4"/>
    <w:rsid w:val="00E70F44"/>
    <w:rsid w:val="00E71908"/>
    <w:rsid w:val="00E71AD8"/>
    <w:rsid w:val="00E71CCE"/>
    <w:rsid w:val="00E7230C"/>
    <w:rsid w:val="00E728A2"/>
    <w:rsid w:val="00E73219"/>
    <w:rsid w:val="00E7422A"/>
    <w:rsid w:val="00E75622"/>
    <w:rsid w:val="00E7687B"/>
    <w:rsid w:val="00E802BC"/>
    <w:rsid w:val="00E835C3"/>
    <w:rsid w:val="00E83F17"/>
    <w:rsid w:val="00E83F97"/>
    <w:rsid w:val="00E852C1"/>
    <w:rsid w:val="00E857AF"/>
    <w:rsid w:val="00E85CFD"/>
    <w:rsid w:val="00E86EB7"/>
    <w:rsid w:val="00E9296C"/>
    <w:rsid w:val="00E9426D"/>
    <w:rsid w:val="00E94320"/>
    <w:rsid w:val="00E952D1"/>
    <w:rsid w:val="00E97077"/>
    <w:rsid w:val="00EA08D6"/>
    <w:rsid w:val="00EA4039"/>
    <w:rsid w:val="00EA48C9"/>
    <w:rsid w:val="00EA5928"/>
    <w:rsid w:val="00EA643F"/>
    <w:rsid w:val="00EA6B2A"/>
    <w:rsid w:val="00EA7C09"/>
    <w:rsid w:val="00EB187B"/>
    <w:rsid w:val="00EB1B37"/>
    <w:rsid w:val="00EB2674"/>
    <w:rsid w:val="00EB3758"/>
    <w:rsid w:val="00EB3B11"/>
    <w:rsid w:val="00EB4305"/>
    <w:rsid w:val="00EC3C2F"/>
    <w:rsid w:val="00EC41FF"/>
    <w:rsid w:val="00EC445B"/>
    <w:rsid w:val="00EC4465"/>
    <w:rsid w:val="00EC492B"/>
    <w:rsid w:val="00EC630A"/>
    <w:rsid w:val="00EC670C"/>
    <w:rsid w:val="00EC6D24"/>
    <w:rsid w:val="00EC73A6"/>
    <w:rsid w:val="00ED1489"/>
    <w:rsid w:val="00ED253C"/>
    <w:rsid w:val="00ED3068"/>
    <w:rsid w:val="00ED3CA7"/>
    <w:rsid w:val="00ED6E44"/>
    <w:rsid w:val="00EE0B98"/>
    <w:rsid w:val="00EE1FB2"/>
    <w:rsid w:val="00EE2282"/>
    <w:rsid w:val="00EE28B7"/>
    <w:rsid w:val="00EE32CB"/>
    <w:rsid w:val="00EE3894"/>
    <w:rsid w:val="00EE49BA"/>
    <w:rsid w:val="00EE57CC"/>
    <w:rsid w:val="00EF0675"/>
    <w:rsid w:val="00EF0BBF"/>
    <w:rsid w:val="00EF1FFC"/>
    <w:rsid w:val="00EF20E6"/>
    <w:rsid w:val="00EF2424"/>
    <w:rsid w:val="00EF3B0F"/>
    <w:rsid w:val="00EF3F59"/>
    <w:rsid w:val="00EF467F"/>
    <w:rsid w:val="00EF4F0C"/>
    <w:rsid w:val="00EF58E2"/>
    <w:rsid w:val="00EF5FFF"/>
    <w:rsid w:val="00EF7CDC"/>
    <w:rsid w:val="00F01090"/>
    <w:rsid w:val="00F02801"/>
    <w:rsid w:val="00F0446D"/>
    <w:rsid w:val="00F0476D"/>
    <w:rsid w:val="00F04BAD"/>
    <w:rsid w:val="00F07398"/>
    <w:rsid w:val="00F07A5D"/>
    <w:rsid w:val="00F10208"/>
    <w:rsid w:val="00F10681"/>
    <w:rsid w:val="00F11A55"/>
    <w:rsid w:val="00F177C9"/>
    <w:rsid w:val="00F21B74"/>
    <w:rsid w:val="00F21F3F"/>
    <w:rsid w:val="00F2219C"/>
    <w:rsid w:val="00F2230D"/>
    <w:rsid w:val="00F23CD6"/>
    <w:rsid w:val="00F2683B"/>
    <w:rsid w:val="00F26DAC"/>
    <w:rsid w:val="00F30C1E"/>
    <w:rsid w:val="00F31B76"/>
    <w:rsid w:val="00F32114"/>
    <w:rsid w:val="00F3322C"/>
    <w:rsid w:val="00F34082"/>
    <w:rsid w:val="00F3462C"/>
    <w:rsid w:val="00F36412"/>
    <w:rsid w:val="00F36FB2"/>
    <w:rsid w:val="00F43468"/>
    <w:rsid w:val="00F466E3"/>
    <w:rsid w:val="00F478CD"/>
    <w:rsid w:val="00F51A46"/>
    <w:rsid w:val="00F52572"/>
    <w:rsid w:val="00F538FC"/>
    <w:rsid w:val="00F56338"/>
    <w:rsid w:val="00F565D9"/>
    <w:rsid w:val="00F60823"/>
    <w:rsid w:val="00F6145F"/>
    <w:rsid w:val="00F61793"/>
    <w:rsid w:val="00F61D27"/>
    <w:rsid w:val="00F62541"/>
    <w:rsid w:val="00F62BA0"/>
    <w:rsid w:val="00F63BE0"/>
    <w:rsid w:val="00F63C09"/>
    <w:rsid w:val="00F63DEC"/>
    <w:rsid w:val="00F643D8"/>
    <w:rsid w:val="00F66749"/>
    <w:rsid w:val="00F66F76"/>
    <w:rsid w:val="00F74772"/>
    <w:rsid w:val="00F74960"/>
    <w:rsid w:val="00F77EAC"/>
    <w:rsid w:val="00F80101"/>
    <w:rsid w:val="00F810F6"/>
    <w:rsid w:val="00F8479D"/>
    <w:rsid w:val="00F84EC4"/>
    <w:rsid w:val="00F85459"/>
    <w:rsid w:val="00F91283"/>
    <w:rsid w:val="00F91482"/>
    <w:rsid w:val="00F92895"/>
    <w:rsid w:val="00F93559"/>
    <w:rsid w:val="00F944CB"/>
    <w:rsid w:val="00F9462D"/>
    <w:rsid w:val="00F9474A"/>
    <w:rsid w:val="00F95D11"/>
    <w:rsid w:val="00F966C5"/>
    <w:rsid w:val="00F97A31"/>
    <w:rsid w:val="00FA035E"/>
    <w:rsid w:val="00FA0C22"/>
    <w:rsid w:val="00FA2754"/>
    <w:rsid w:val="00FA42A1"/>
    <w:rsid w:val="00FA6ADA"/>
    <w:rsid w:val="00FA730B"/>
    <w:rsid w:val="00FA73FC"/>
    <w:rsid w:val="00FB08BE"/>
    <w:rsid w:val="00FB1A8D"/>
    <w:rsid w:val="00FB3CA7"/>
    <w:rsid w:val="00FB4367"/>
    <w:rsid w:val="00FB681F"/>
    <w:rsid w:val="00FB7854"/>
    <w:rsid w:val="00FB7E4B"/>
    <w:rsid w:val="00FC0300"/>
    <w:rsid w:val="00FC179C"/>
    <w:rsid w:val="00FC3C3F"/>
    <w:rsid w:val="00FC5966"/>
    <w:rsid w:val="00FC5C92"/>
    <w:rsid w:val="00FC7234"/>
    <w:rsid w:val="00FD1457"/>
    <w:rsid w:val="00FD2DA9"/>
    <w:rsid w:val="00FD3538"/>
    <w:rsid w:val="00FD4E4A"/>
    <w:rsid w:val="00FD51B7"/>
    <w:rsid w:val="00FD5C0A"/>
    <w:rsid w:val="00FD7420"/>
    <w:rsid w:val="00FD7970"/>
    <w:rsid w:val="00FD7F49"/>
    <w:rsid w:val="00FE01F9"/>
    <w:rsid w:val="00FE236B"/>
    <w:rsid w:val="00FE23E0"/>
    <w:rsid w:val="00FE4279"/>
    <w:rsid w:val="00FE4545"/>
    <w:rsid w:val="00FE5984"/>
    <w:rsid w:val="00FE5A06"/>
    <w:rsid w:val="00FE5C0C"/>
    <w:rsid w:val="00FF009F"/>
    <w:rsid w:val="00FF13F6"/>
    <w:rsid w:val="00FF29ED"/>
    <w:rsid w:val="00FF3CDF"/>
    <w:rsid w:val="00FF4BFE"/>
    <w:rsid w:val="00FF7A0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B54"/>
    <w:rPr>
      <w:rFonts w:ascii="Arial" w:hAnsi="Arial"/>
      <w:lang w:eastAsia="nl-NL"/>
    </w:rPr>
  </w:style>
  <w:style w:type="paragraph" w:styleId="Heading1">
    <w:name w:val="heading 1"/>
    <w:basedOn w:val="Normal"/>
    <w:next w:val="Normal"/>
    <w:qFormat/>
    <w:rsid w:val="002851AF"/>
    <w:pPr>
      <w:keepNext/>
      <w:numPr>
        <w:numId w:val="24"/>
      </w:numPr>
      <w:spacing w:before="240" w:after="60"/>
      <w:outlineLvl w:val="0"/>
    </w:pPr>
    <w:rPr>
      <w:rFonts w:cs="Arial"/>
      <w:b/>
      <w:bCs/>
      <w:kern w:val="32"/>
      <w:sz w:val="28"/>
      <w:szCs w:val="32"/>
    </w:rPr>
  </w:style>
  <w:style w:type="paragraph" w:styleId="Heading2">
    <w:name w:val="heading 2"/>
    <w:basedOn w:val="Normal"/>
    <w:next w:val="Normal"/>
    <w:autoRedefine/>
    <w:qFormat/>
    <w:rsid w:val="002851AF"/>
    <w:pPr>
      <w:keepNext/>
      <w:numPr>
        <w:ilvl w:val="1"/>
        <w:numId w:val="24"/>
      </w:numPr>
      <w:spacing w:before="480" w:after="360"/>
      <w:outlineLvl w:val="1"/>
    </w:pPr>
    <w:rPr>
      <w:rFonts w:cs="Arial"/>
      <w:b/>
      <w:bCs/>
      <w:sz w:val="24"/>
      <w:szCs w:val="24"/>
      <w:lang w:eastAsia="nl-BE"/>
    </w:rPr>
  </w:style>
  <w:style w:type="paragraph" w:styleId="Heading3">
    <w:name w:val="heading 3"/>
    <w:basedOn w:val="Normal"/>
    <w:next w:val="Normal"/>
    <w:autoRedefine/>
    <w:qFormat/>
    <w:rsid w:val="00B80363"/>
    <w:pPr>
      <w:keepNext/>
      <w:spacing w:before="240" w:after="120"/>
      <w:outlineLvl w:val="2"/>
    </w:pPr>
    <w:rPr>
      <w:rFonts w:cs="Arial"/>
      <w:b/>
      <w:bCs/>
      <w:sz w:val="22"/>
      <w:szCs w:val="22"/>
    </w:rPr>
  </w:style>
  <w:style w:type="paragraph" w:styleId="Heading4">
    <w:name w:val="heading 4"/>
    <w:basedOn w:val="Normal"/>
    <w:next w:val="Normal"/>
    <w:autoRedefine/>
    <w:qFormat/>
    <w:rsid w:val="00930CF6"/>
    <w:pPr>
      <w:keepNext/>
      <w:spacing w:before="240" w:after="60"/>
      <w:outlineLvl w:val="3"/>
    </w:pPr>
    <w:rPr>
      <w:b/>
      <w:bCs/>
    </w:rPr>
  </w:style>
  <w:style w:type="paragraph" w:styleId="Heading5">
    <w:name w:val="heading 5"/>
    <w:basedOn w:val="Normal"/>
    <w:next w:val="Normal"/>
    <w:qFormat/>
    <w:rsid w:val="002B0D06"/>
    <w:pPr>
      <w:keepNext/>
      <w:outlineLvl w:val="4"/>
    </w:pPr>
    <w:rPr>
      <w:rFonts w:cs="Arial"/>
      <w:i/>
      <w:iCs/>
      <w:szCs w:val="24"/>
      <w:lang w:eastAsia="nl-BE"/>
    </w:rPr>
  </w:style>
  <w:style w:type="paragraph" w:styleId="Heading8">
    <w:name w:val="heading 8"/>
    <w:basedOn w:val="Normal"/>
    <w:next w:val="Normal"/>
    <w:qFormat/>
    <w:rsid w:val="002B0D06"/>
    <w:pPr>
      <w:keepNext/>
      <w:outlineLvl w:val="7"/>
    </w:pPr>
    <w:rPr>
      <w:rFonts w:cs="Arial"/>
      <w:b/>
      <w:bCs/>
      <w:i/>
      <w:iCs/>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327E3"/>
    <w:pPr>
      <w:shd w:val="clear" w:color="auto" w:fill="000080"/>
    </w:pPr>
    <w:rPr>
      <w:rFonts w:ascii="Tahoma" w:hAnsi="Tahoma" w:cs="Tahoma"/>
    </w:rPr>
  </w:style>
  <w:style w:type="paragraph" w:styleId="Footer">
    <w:name w:val="footer"/>
    <w:basedOn w:val="Normal"/>
    <w:link w:val="FooterChar"/>
    <w:uiPriority w:val="99"/>
    <w:rsid w:val="002B0D06"/>
    <w:pPr>
      <w:tabs>
        <w:tab w:val="center" w:pos="4536"/>
        <w:tab w:val="right" w:pos="9072"/>
      </w:tabs>
    </w:pPr>
  </w:style>
  <w:style w:type="paragraph" w:styleId="BodyText2">
    <w:name w:val="Body Text 2"/>
    <w:basedOn w:val="Normal"/>
    <w:rsid w:val="002B0D06"/>
    <w:rPr>
      <w:rFonts w:cs="Arial"/>
      <w:szCs w:val="24"/>
      <w:lang w:eastAsia="nl-BE"/>
    </w:rPr>
  </w:style>
  <w:style w:type="paragraph" w:styleId="BodyText3">
    <w:name w:val="Body Text 3"/>
    <w:basedOn w:val="Normal"/>
    <w:rsid w:val="002B0D06"/>
    <w:pPr>
      <w:spacing w:after="120"/>
    </w:pPr>
    <w:rPr>
      <w:sz w:val="16"/>
      <w:szCs w:val="16"/>
    </w:rPr>
  </w:style>
  <w:style w:type="paragraph" w:styleId="Header">
    <w:name w:val="header"/>
    <w:basedOn w:val="Normal"/>
    <w:rsid w:val="002B0D06"/>
    <w:pPr>
      <w:tabs>
        <w:tab w:val="center" w:pos="4536"/>
        <w:tab w:val="right" w:pos="9072"/>
      </w:tabs>
    </w:pPr>
    <w:rPr>
      <w:sz w:val="24"/>
      <w:szCs w:val="24"/>
      <w:lang w:val="en-GB" w:eastAsia="en-US"/>
    </w:rPr>
  </w:style>
  <w:style w:type="paragraph" w:styleId="FootnoteText">
    <w:name w:val="footnote text"/>
    <w:basedOn w:val="Normal"/>
    <w:semiHidden/>
    <w:rsid w:val="002B0D06"/>
  </w:style>
  <w:style w:type="character" w:styleId="FootnoteReference">
    <w:name w:val="footnote reference"/>
    <w:basedOn w:val="DefaultParagraphFont"/>
    <w:semiHidden/>
    <w:rsid w:val="002B0D06"/>
    <w:rPr>
      <w:vertAlign w:val="superscript"/>
    </w:rPr>
  </w:style>
  <w:style w:type="paragraph" w:styleId="NormalWeb">
    <w:name w:val="Normal (Web)"/>
    <w:basedOn w:val="Normal"/>
    <w:rsid w:val="002B0D06"/>
    <w:pPr>
      <w:spacing w:before="100" w:beforeAutospacing="1" w:after="100" w:afterAutospacing="1"/>
    </w:pPr>
    <w:rPr>
      <w:rFonts w:ascii="Arial Unicode MS" w:eastAsia="Arial Unicode MS" w:hAnsi="Arial Unicode MS" w:cs="Arial Unicode MS" w:hint="eastAsia"/>
      <w:sz w:val="24"/>
      <w:szCs w:val="24"/>
      <w:lang w:val="en-GB" w:eastAsia="en-US"/>
    </w:rPr>
  </w:style>
  <w:style w:type="character" w:styleId="Hyperlink">
    <w:name w:val="Hyperlink"/>
    <w:basedOn w:val="DefaultParagraphFont"/>
    <w:uiPriority w:val="99"/>
    <w:rsid w:val="002B0D06"/>
    <w:rPr>
      <w:color w:val="0000FF"/>
      <w:u w:val="single"/>
    </w:rPr>
  </w:style>
  <w:style w:type="paragraph" w:styleId="BalloonText">
    <w:name w:val="Balloon Text"/>
    <w:basedOn w:val="Normal"/>
    <w:semiHidden/>
    <w:rsid w:val="002B0D06"/>
    <w:rPr>
      <w:rFonts w:ascii="Tahoma" w:hAnsi="Tahoma" w:cs="Tahoma"/>
      <w:sz w:val="16"/>
      <w:szCs w:val="16"/>
    </w:rPr>
  </w:style>
  <w:style w:type="table" w:styleId="TableGrid">
    <w:name w:val="Table Grid"/>
    <w:basedOn w:val="TableNormal"/>
    <w:rsid w:val="00034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10ptBlackRight0cmLinespacingExactly18">
    <w:name w:val="Style Style + 10 pt Black Right:  0 cm Line spacing:  Exactly 18..."/>
    <w:basedOn w:val="Normal"/>
    <w:rsid w:val="00C76577"/>
    <w:pPr>
      <w:numPr>
        <w:numId w:val="4"/>
      </w:numPr>
    </w:pPr>
  </w:style>
  <w:style w:type="paragraph" w:styleId="TOC3">
    <w:name w:val="toc 3"/>
    <w:basedOn w:val="Normal"/>
    <w:next w:val="Normal"/>
    <w:autoRedefine/>
    <w:uiPriority w:val="39"/>
    <w:rsid w:val="007B0288"/>
    <w:pPr>
      <w:tabs>
        <w:tab w:val="right" w:leader="dot" w:pos="9060"/>
      </w:tabs>
      <w:ind w:left="400"/>
    </w:pPr>
    <w:rPr>
      <w:rFonts w:cs="Arial"/>
      <w:i/>
      <w:iCs/>
      <w:sz w:val="18"/>
      <w:szCs w:val="18"/>
      <w:lang w:val="fr-FR"/>
    </w:rPr>
  </w:style>
  <w:style w:type="paragraph" w:styleId="TOC1">
    <w:name w:val="toc 1"/>
    <w:basedOn w:val="Normal"/>
    <w:next w:val="Normal"/>
    <w:autoRedefine/>
    <w:uiPriority w:val="39"/>
    <w:rsid w:val="00194DBC"/>
    <w:pPr>
      <w:spacing w:before="120" w:after="120"/>
    </w:pPr>
    <w:rPr>
      <w:bCs/>
    </w:rPr>
  </w:style>
  <w:style w:type="paragraph" w:styleId="TOC2">
    <w:name w:val="toc 2"/>
    <w:basedOn w:val="Normal"/>
    <w:next w:val="Normal"/>
    <w:autoRedefine/>
    <w:uiPriority w:val="39"/>
    <w:rsid w:val="00194DBC"/>
    <w:pPr>
      <w:ind w:left="200"/>
    </w:pPr>
  </w:style>
  <w:style w:type="paragraph" w:customStyle="1" w:styleId="CharCharCharCharCharCharCharCharCharCharCharCharCharChar">
    <w:name w:val="Char Char Char Char Char Char Char Char Char Char Char Char Char Char"/>
    <w:basedOn w:val="Normal"/>
    <w:autoRedefine/>
    <w:rsid w:val="003F58F9"/>
    <w:rPr>
      <w:b/>
      <w:szCs w:val="24"/>
      <w:lang w:val="pl-PL" w:eastAsia="pl-PL"/>
    </w:rPr>
  </w:style>
  <w:style w:type="character" w:customStyle="1" w:styleId="EmailStyle311">
    <w:name w:val="EmailStyle31"/>
    <w:aliases w:val="EmailStyle31"/>
    <w:basedOn w:val="DefaultParagraphFont"/>
    <w:semiHidden/>
    <w:personal/>
    <w:personalCompose/>
    <w:rsid w:val="004401C2"/>
    <w:rPr>
      <w:rFonts w:cs="Arial"/>
      <w:color w:val="auto"/>
      <w:sz w:val="20"/>
      <w:szCs w:val="20"/>
    </w:rPr>
  </w:style>
  <w:style w:type="paragraph" w:customStyle="1" w:styleId="CharCharCharCharCharChar">
    <w:name w:val="Char Char Char Char Char Char"/>
    <w:basedOn w:val="Normal"/>
    <w:link w:val="CharCharCharCharCharCharChar"/>
    <w:rsid w:val="00C76577"/>
    <w:rPr>
      <w:sz w:val="24"/>
      <w:szCs w:val="24"/>
      <w:lang w:val="pl-PL" w:eastAsia="pl-PL"/>
    </w:rPr>
  </w:style>
  <w:style w:type="paragraph" w:styleId="BodyText">
    <w:name w:val="Body Text"/>
    <w:basedOn w:val="Normal"/>
    <w:link w:val="BodyTextChar"/>
    <w:rsid w:val="00DB68D8"/>
    <w:pPr>
      <w:spacing w:after="120"/>
    </w:pPr>
  </w:style>
  <w:style w:type="character" w:customStyle="1" w:styleId="CharCharCharCharCharCharChar">
    <w:name w:val="Char Char Char Char Char Char Char"/>
    <w:basedOn w:val="DefaultParagraphFont"/>
    <w:link w:val="CharCharCharCharCharChar"/>
    <w:rsid w:val="00DD7FE5"/>
    <w:rPr>
      <w:sz w:val="24"/>
    </w:rPr>
  </w:style>
  <w:style w:type="character" w:styleId="CommentReference">
    <w:name w:val="annotation reference"/>
    <w:basedOn w:val="DefaultParagraphFont"/>
    <w:rsid w:val="00D6165B"/>
    <w:rPr>
      <w:sz w:val="16"/>
      <w:szCs w:val="16"/>
    </w:rPr>
  </w:style>
  <w:style w:type="paragraph" w:styleId="CommentText">
    <w:name w:val="annotation text"/>
    <w:basedOn w:val="Normal"/>
    <w:link w:val="CommentTextChar"/>
    <w:rsid w:val="00D6165B"/>
  </w:style>
  <w:style w:type="character" w:customStyle="1" w:styleId="CommentTextChar">
    <w:name w:val="Comment Text Char"/>
    <w:basedOn w:val="DefaultParagraphFont"/>
    <w:link w:val="CommentText"/>
    <w:rsid w:val="00D6165B"/>
    <w:rPr>
      <w:lang w:eastAsia="nl-NL"/>
    </w:rPr>
  </w:style>
  <w:style w:type="paragraph" w:styleId="CommentSubject">
    <w:name w:val="annotation subject"/>
    <w:basedOn w:val="CommentText"/>
    <w:next w:val="CommentText"/>
    <w:link w:val="CommentSubjectChar"/>
    <w:rsid w:val="00D6165B"/>
    <w:rPr>
      <w:b/>
      <w:bCs/>
    </w:rPr>
  </w:style>
  <w:style w:type="character" w:customStyle="1" w:styleId="CommentSubjectChar">
    <w:name w:val="Comment Subject Char"/>
    <w:basedOn w:val="CommentTextChar"/>
    <w:link w:val="CommentSubject"/>
    <w:rsid w:val="00D6165B"/>
    <w:rPr>
      <w:b/>
      <w:bCs/>
    </w:rPr>
  </w:style>
  <w:style w:type="character" w:styleId="PageNumber">
    <w:name w:val="page number"/>
    <w:basedOn w:val="DefaultParagraphFont"/>
    <w:rsid w:val="00C51CE3"/>
  </w:style>
  <w:style w:type="paragraph" w:styleId="TOC4">
    <w:name w:val="toc 4"/>
    <w:basedOn w:val="Normal"/>
    <w:next w:val="Normal"/>
    <w:autoRedefine/>
    <w:semiHidden/>
    <w:rsid w:val="005E0D3F"/>
    <w:pPr>
      <w:ind w:left="600"/>
    </w:pPr>
    <w:rPr>
      <w:rFonts w:ascii="Times New Roman" w:hAnsi="Times New Roman"/>
      <w:sz w:val="18"/>
      <w:szCs w:val="18"/>
    </w:rPr>
  </w:style>
  <w:style w:type="paragraph" w:styleId="TOC5">
    <w:name w:val="toc 5"/>
    <w:basedOn w:val="Normal"/>
    <w:next w:val="Normal"/>
    <w:autoRedefine/>
    <w:semiHidden/>
    <w:rsid w:val="005E0D3F"/>
    <w:pPr>
      <w:ind w:left="800"/>
    </w:pPr>
    <w:rPr>
      <w:rFonts w:ascii="Times New Roman" w:hAnsi="Times New Roman"/>
      <w:sz w:val="18"/>
      <w:szCs w:val="18"/>
    </w:rPr>
  </w:style>
  <w:style w:type="paragraph" w:styleId="TOC6">
    <w:name w:val="toc 6"/>
    <w:basedOn w:val="Normal"/>
    <w:next w:val="Normal"/>
    <w:autoRedefine/>
    <w:semiHidden/>
    <w:rsid w:val="005E0D3F"/>
    <w:pPr>
      <w:ind w:left="1000"/>
    </w:pPr>
    <w:rPr>
      <w:rFonts w:ascii="Times New Roman" w:hAnsi="Times New Roman"/>
      <w:sz w:val="18"/>
      <w:szCs w:val="18"/>
    </w:rPr>
  </w:style>
  <w:style w:type="paragraph" w:styleId="TOC7">
    <w:name w:val="toc 7"/>
    <w:basedOn w:val="Normal"/>
    <w:next w:val="Normal"/>
    <w:autoRedefine/>
    <w:semiHidden/>
    <w:rsid w:val="005E0D3F"/>
    <w:pPr>
      <w:ind w:left="1200"/>
    </w:pPr>
    <w:rPr>
      <w:rFonts w:ascii="Times New Roman" w:hAnsi="Times New Roman"/>
      <w:sz w:val="18"/>
      <w:szCs w:val="18"/>
    </w:rPr>
  </w:style>
  <w:style w:type="paragraph" w:styleId="TOC8">
    <w:name w:val="toc 8"/>
    <w:basedOn w:val="Normal"/>
    <w:next w:val="Normal"/>
    <w:autoRedefine/>
    <w:semiHidden/>
    <w:rsid w:val="005E0D3F"/>
    <w:pPr>
      <w:ind w:left="1400"/>
    </w:pPr>
    <w:rPr>
      <w:rFonts w:ascii="Times New Roman" w:hAnsi="Times New Roman"/>
      <w:sz w:val="18"/>
      <w:szCs w:val="18"/>
    </w:rPr>
  </w:style>
  <w:style w:type="paragraph" w:styleId="TOC9">
    <w:name w:val="toc 9"/>
    <w:basedOn w:val="Normal"/>
    <w:next w:val="Normal"/>
    <w:autoRedefine/>
    <w:semiHidden/>
    <w:rsid w:val="005E0D3F"/>
    <w:pPr>
      <w:ind w:left="1600"/>
    </w:pPr>
    <w:rPr>
      <w:rFonts w:ascii="Times New Roman" w:hAnsi="Times New Roman"/>
      <w:sz w:val="18"/>
      <w:szCs w:val="18"/>
    </w:rPr>
  </w:style>
  <w:style w:type="paragraph" w:customStyle="1" w:styleId="blauw">
    <w:name w:val="blauw"/>
    <w:basedOn w:val="Normal"/>
    <w:rsid w:val="009C127B"/>
    <w:pPr>
      <w:spacing w:line="263" w:lineRule="atLeast"/>
    </w:pPr>
    <w:rPr>
      <w:rFonts w:ascii="Verdana" w:hAnsi="Verdana"/>
      <w:color w:val="275A89"/>
      <w:sz w:val="21"/>
      <w:szCs w:val="21"/>
      <w:lang w:val="en-US" w:eastAsia="en-US"/>
    </w:rPr>
  </w:style>
  <w:style w:type="paragraph" w:customStyle="1" w:styleId="titel">
    <w:name w:val="titel"/>
    <w:basedOn w:val="Normal"/>
    <w:rsid w:val="008645B2"/>
    <w:pPr>
      <w:spacing w:line="316" w:lineRule="atLeast"/>
    </w:pPr>
    <w:rPr>
      <w:rFonts w:ascii="Verdana" w:hAnsi="Verdana"/>
      <w:b/>
      <w:bCs/>
      <w:color w:val="275A89"/>
      <w:sz w:val="26"/>
      <w:szCs w:val="26"/>
      <w:lang w:val="en-US" w:eastAsia="en-US"/>
    </w:rPr>
  </w:style>
  <w:style w:type="paragraph" w:customStyle="1" w:styleId="subtitel">
    <w:name w:val="subtitel"/>
    <w:basedOn w:val="Normal"/>
    <w:rsid w:val="008645B2"/>
    <w:pPr>
      <w:spacing w:line="316" w:lineRule="atLeast"/>
    </w:pPr>
    <w:rPr>
      <w:rFonts w:ascii="Verdana" w:hAnsi="Verdana"/>
      <w:b/>
      <w:bCs/>
      <w:color w:val="275A89"/>
      <w:sz w:val="23"/>
      <w:szCs w:val="23"/>
      <w:lang w:val="en-US" w:eastAsia="en-US"/>
    </w:rPr>
  </w:style>
  <w:style w:type="paragraph" w:customStyle="1" w:styleId="groen">
    <w:name w:val="groen"/>
    <w:basedOn w:val="Normal"/>
    <w:rsid w:val="008645B2"/>
    <w:pPr>
      <w:spacing w:line="263" w:lineRule="atLeast"/>
    </w:pPr>
    <w:rPr>
      <w:rFonts w:ascii="Verdana" w:hAnsi="Verdana"/>
      <w:color w:val="364D18"/>
      <w:sz w:val="21"/>
      <w:szCs w:val="21"/>
      <w:lang w:val="en-US" w:eastAsia="en-US"/>
    </w:rPr>
  </w:style>
  <w:style w:type="character" w:styleId="Strong">
    <w:name w:val="Strong"/>
    <w:basedOn w:val="DefaultParagraphFont"/>
    <w:uiPriority w:val="22"/>
    <w:qFormat/>
    <w:rsid w:val="008645B2"/>
    <w:rPr>
      <w:b/>
      <w:bCs/>
    </w:rPr>
  </w:style>
  <w:style w:type="paragraph" w:styleId="TOCHeading">
    <w:name w:val="TOC Heading"/>
    <w:basedOn w:val="Heading1"/>
    <w:next w:val="Normal"/>
    <w:uiPriority w:val="39"/>
    <w:semiHidden/>
    <w:unhideWhenUsed/>
    <w:qFormat/>
    <w:rsid w:val="0096025A"/>
    <w:pPr>
      <w:keepLines/>
      <w:numPr>
        <w:numId w:val="0"/>
      </w:numPr>
      <w:spacing w:before="480" w:after="0" w:line="276" w:lineRule="auto"/>
      <w:outlineLvl w:val="9"/>
    </w:pPr>
    <w:rPr>
      <w:rFonts w:ascii="Cambria" w:hAnsi="Cambria" w:cs="Times New Roman"/>
      <w:color w:val="365F91"/>
      <w:kern w:val="0"/>
      <w:szCs w:val="28"/>
      <w:lang w:val="en-US" w:eastAsia="en-US"/>
    </w:rPr>
  </w:style>
  <w:style w:type="paragraph" w:customStyle="1" w:styleId="BodyText31">
    <w:name w:val="Body Text 31"/>
    <w:basedOn w:val="Normal"/>
    <w:rsid w:val="004A6063"/>
    <w:pPr>
      <w:jc w:val="both"/>
    </w:pPr>
    <w:rPr>
      <w:rFonts w:ascii="Times New Roman" w:hAnsi="Times New Roman"/>
      <w:sz w:val="24"/>
      <w:lang w:val="nl-NL"/>
    </w:rPr>
  </w:style>
  <w:style w:type="character" w:customStyle="1" w:styleId="FooterChar">
    <w:name w:val="Footer Char"/>
    <w:basedOn w:val="DefaultParagraphFont"/>
    <w:link w:val="Footer"/>
    <w:uiPriority w:val="99"/>
    <w:rsid w:val="00A24B46"/>
    <w:rPr>
      <w:lang w:eastAsia="nl-NL"/>
    </w:rPr>
  </w:style>
  <w:style w:type="character" w:customStyle="1" w:styleId="BodyTextChar">
    <w:name w:val="Body Text Char"/>
    <w:basedOn w:val="DefaultParagraphFont"/>
    <w:link w:val="BodyText"/>
    <w:rsid w:val="003B3DDB"/>
    <w:rPr>
      <w:rFonts w:ascii="Arial" w:hAnsi="Arial"/>
      <w:lang w:eastAsia="nl-NL"/>
    </w:rPr>
  </w:style>
  <w:style w:type="paragraph" w:styleId="ListParagraph">
    <w:name w:val="List Paragraph"/>
    <w:basedOn w:val="Normal"/>
    <w:uiPriority w:val="34"/>
    <w:qFormat/>
    <w:rsid w:val="003511DA"/>
    <w:pPr>
      <w:ind w:left="720"/>
      <w:contextualSpacing/>
    </w:pPr>
  </w:style>
  <w:style w:type="paragraph" w:styleId="EndnoteText">
    <w:name w:val="endnote text"/>
    <w:basedOn w:val="Normal"/>
    <w:link w:val="EndnoteTextChar"/>
    <w:rsid w:val="00324C03"/>
  </w:style>
  <w:style w:type="character" w:customStyle="1" w:styleId="EndnoteTextChar">
    <w:name w:val="Endnote Text Char"/>
    <w:basedOn w:val="DefaultParagraphFont"/>
    <w:link w:val="EndnoteText"/>
    <w:rsid w:val="00324C03"/>
    <w:rPr>
      <w:rFonts w:ascii="Arial" w:hAnsi="Arial"/>
      <w:lang w:eastAsia="nl-NL"/>
    </w:rPr>
  </w:style>
  <w:style w:type="character" w:styleId="EndnoteReference">
    <w:name w:val="endnote reference"/>
    <w:basedOn w:val="DefaultParagraphFont"/>
    <w:rsid w:val="00324C03"/>
    <w:rPr>
      <w:vertAlign w:val="superscript"/>
    </w:rPr>
  </w:style>
  <w:style w:type="character" w:styleId="FollowedHyperlink">
    <w:name w:val="FollowedHyperlink"/>
    <w:basedOn w:val="DefaultParagraphFont"/>
    <w:rsid w:val="00A466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87466">
      <w:bodyDiv w:val="1"/>
      <w:marLeft w:val="0"/>
      <w:marRight w:val="0"/>
      <w:marTop w:val="0"/>
      <w:marBottom w:val="0"/>
      <w:divBdr>
        <w:top w:val="none" w:sz="0" w:space="0" w:color="auto"/>
        <w:left w:val="none" w:sz="0" w:space="0" w:color="auto"/>
        <w:bottom w:val="none" w:sz="0" w:space="0" w:color="auto"/>
        <w:right w:val="none" w:sz="0" w:space="0" w:color="auto"/>
      </w:divBdr>
    </w:div>
    <w:div w:id="18092562">
      <w:bodyDiv w:val="1"/>
      <w:marLeft w:val="0"/>
      <w:marRight w:val="0"/>
      <w:marTop w:val="0"/>
      <w:marBottom w:val="0"/>
      <w:divBdr>
        <w:top w:val="none" w:sz="0" w:space="0" w:color="auto"/>
        <w:left w:val="none" w:sz="0" w:space="0" w:color="auto"/>
        <w:bottom w:val="none" w:sz="0" w:space="0" w:color="auto"/>
        <w:right w:val="none" w:sz="0" w:space="0" w:color="auto"/>
      </w:divBdr>
    </w:div>
    <w:div w:id="40909938">
      <w:bodyDiv w:val="1"/>
      <w:marLeft w:val="0"/>
      <w:marRight w:val="0"/>
      <w:marTop w:val="0"/>
      <w:marBottom w:val="0"/>
      <w:divBdr>
        <w:top w:val="none" w:sz="0" w:space="0" w:color="auto"/>
        <w:left w:val="none" w:sz="0" w:space="0" w:color="auto"/>
        <w:bottom w:val="none" w:sz="0" w:space="0" w:color="auto"/>
        <w:right w:val="none" w:sz="0" w:space="0" w:color="auto"/>
      </w:divBdr>
    </w:div>
    <w:div w:id="55474863">
      <w:bodyDiv w:val="1"/>
      <w:marLeft w:val="0"/>
      <w:marRight w:val="0"/>
      <w:marTop w:val="0"/>
      <w:marBottom w:val="0"/>
      <w:divBdr>
        <w:top w:val="none" w:sz="0" w:space="0" w:color="auto"/>
        <w:left w:val="none" w:sz="0" w:space="0" w:color="auto"/>
        <w:bottom w:val="none" w:sz="0" w:space="0" w:color="auto"/>
        <w:right w:val="none" w:sz="0" w:space="0" w:color="auto"/>
      </w:divBdr>
    </w:div>
    <w:div w:id="58677309">
      <w:bodyDiv w:val="1"/>
      <w:marLeft w:val="0"/>
      <w:marRight w:val="0"/>
      <w:marTop w:val="0"/>
      <w:marBottom w:val="0"/>
      <w:divBdr>
        <w:top w:val="none" w:sz="0" w:space="0" w:color="auto"/>
        <w:left w:val="none" w:sz="0" w:space="0" w:color="auto"/>
        <w:bottom w:val="none" w:sz="0" w:space="0" w:color="auto"/>
        <w:right w:val="none" w:sz="0" w:space="0" w:color="auto"/>
      </w:divBdr>
    </w:div>
    <w:div w:id="97988692">
      <w:bodyDiv w:val="1"/>
      <w:marLeft w:val="0"/>
      <w:marRight w:val="0"/>
      <w:marTop w:val="0"/>
      <w:marBottom w:val="0"/>
      <w:divBdr>
        <w:top w:val="none" w:sz="0" w:space="0" w:color="auto"/>
        <w:left w:val="none" w:sz="0" w:space="0" w:color="auto"/>
        <w:bottom w:val="none" w:sz="0" w:space="0" w:color="auto"/>
        <w:right w:val="none" w:sz="0" w:space="0" w:color="auto"/>
      </w:divBdr>
    </w:div>
    <w:div w:id="98452266">
      <w:bodyDiv w:val="1"/>
      <w:marLeft w:val="0"/>
      <w:marRight w:val="0"/>
      <w:marTop w:val="0"/>
      <w:marBottom w:val="0"/>
      <w:divBdr>
        <w:top w:val="none" w:sz="0" w:space="0" w:color="auto"/>
        <w:left w:val="none" w:sz="0" w:space="0" w:color="auto"/>
        <w:bottom w:val="none" w:sz="0" w:space="0" w:color="auto"/>
        <w:right w:val="none" w:sz="0" w:space="0" w:color="auto"/>
      </w:divBdr>
    </w:div>
    <w:div w:id="105319226">
      <w:bodyDiv w:val="1"/>
      <w:marLeft w:val="0"/>
      <w:marRight w:val="0"/>
      <w:marTop w:val="0"/>
      <w:marBottom w:val="0"/>
      <w:divBdr>
        <w:top w:val="none" w:sz="0" w:space="0" w:color="auto"/>
        <w:left w:val="none" w:sz="0" w:space="0" w:color="auto"/>
        <w:bottom w:val="none" w:sz="0" w:space="0" w:color="auto"/>
        <w:right w:val="none" w:sz="0" w:space="0" w:color="auto"/>
      </w:divBdr>
    </w:div>
    <w:div w:id="130759235">
      <w:bodyDiv w:val="1"/>
      <w:marLeft w:val="0"/>
      <w:marRight w:val="0"/>
      <w:marTop w:val="0"/>
      <w:marBottom w:val="0"/>
      <w:divBdr>
        <w:top w:val="none" w:sz="0" w:space="0" w:color="auto"/>
        <w:left w:val="none" w:sz="0" w:space="0" w:color="auto"/>
        <w:bottom w:val="none" w:sz="0" w:space="0" w:color="auto"/>
        <w:right w:val="none" w:sz="0" w:space="0" w:color="auto"/>
      </w:divBdr>
    </w:div>
    <w:div w:id="149757265">
      <w:bodyDiv w:val="1"/>
      <w:marLeft w:val="0"/>
      <w:marRight w:val="0"/>
      <w:marTop w:val="0"/>
      <w:marBottom w:val="0"/>
      <w:divBdr>
        <w:top w:val="none" w:sz="0" w:space="0" w:color="auto"/>
        <w:left w:val="none" w:sz="0" w:space="0" w:color="auto"/>
        <w:bottom w:val="none" w:sz="0" w:space="0" w:color="auto"/>
        <w:right w:val="none" w:sz="0" w:space="0" w:color="auto"/>
      </w:divBdr>
      <w:divsChild>
        <w:div w:id="89814303">
          <w:marLeft w:val="0"/>
          <w:marRight w:val="0"/>
          <w:marTop w:val="0"/>
          <w:marBottom w:val="0"/>
          <w:divBdr>
            <w:top w:val="none" w:sz="0" w:space="0" w:color="auto"/>
            <w:left w:val="none" w:sz="0" w:space="0" w:color="auto"/>
            <w:bottom w:val="none" w:sz="0" w:space="0" w:color="auto"/>
            <w:right w:val="none" w:sz="0" w:space="0" w:color="auto"/>
          </w:divBdr>
        </w:div>
        <w:div w:id="572590495">
          <w:marLeft w:val="0"/>
          <w:marRight w:val="0"/>
          <w:marTop w:val="0"/>
          <w:marBottom w:val="0"/>
          <w:divBdr>
            <w:top w:val="none" w:sz="0" w:space="0" w:color="auto"/>
            <w:left w:val="none" w:sz="0" w:space="0" w:color="auto"/>
            <w:bottom w:val="none" w:sz="0" w:space="0" w:color="auto"/>
            <w:right w:val="none" w:sz="0" w:space="0" w:color="auto"/>
          </w:divBdr>
        </w:div>
        <w:div w:id="656691055">
          <w:marLeft w:val="0"/>
          <w:marRight w:val="0"/>
          <w:marTop w:val="0"/>
          <w:marBottom w:val="0"/>
          <w:divBdr>
            <w:top w:val="none" w:sz="0" w:space="0" w:color="auto"/>
            <w:left w:val="none" w:sz="0" w:space="0" w:color="auto"/>
            <w:bottom w:val="none" w:sz="0" w:space="0" w:color="auto"/>
            <w:right w:val="none" w:sz="0" w:space="0" w:color="auto"/>
          </w:divBdr>
        </w:div>
        <w:div w:id="1627348208">
          <w:marLeft w:val="0"/>
          <w:marRight w:val="0"/>
          <w:marTop w:val="0"/>
          <w:marBottom w:val="0"/>
          <w:divBdr>
            <w:top w:val="none" w:sz="0" w:space="0" w:color="auto"/>
            <w:left w:val="none" w:sz="0" w:space="0" w:color="auto"/>
            <w:bottom w:val="none" w:sz="0" w:space="0" w:color="auto"/>
            <w:right w:val="none" w:sz="0" w:space="0" w:color="auto"/>
          </w:divBdr>
        </w:div>
        <w:div w:id="1670788970">
          <w:marLeft w:val="0"/>
          <w:marRight w:val="0"/>
          <w:marTop w:val="0"/>
          <w:marBottom w:val="0"/>
          <w:divBdr>
            <w:top w:val="none" w:sz="0" w:space="0" w:color="auto"/>
            <w:left w:val="none" w:sz="0" w:space="0" w:color="auto"/>
            <w:bottom w:val="none" w:sz="0" w:space="0" w:color="auto"/>
            <w:right w:val="none" w:sz="0" w:space="0" w:color="auto"/>
          </w:divBdr>
        </w:div>
        <w:div w:id="1713652917">
          <w:marLeft w:val="0"/>
          <w:marRight w:val="0"/>
          <w:marTop w:val="0"/>
          <w:marBottom w:val="0"/>
          <w:divBdr>
            <w:top w:val="none" w:sz="0" w:space="0" w:color="auto"/>
            <w:left w:val="none" w:sz="0" w:space="0" w:color="auto"/>
            <w:bottom w:val="none" w:sz="0" w:space="0" w:color="auto"/>
            <w:right w:val="none" w:sz="0" w:space="0" w:color="auto"/>
          </w:divBdr>
        </w:div>
      </w:divsChild>
    </w:div>
    <w:div w:id="260577635">
      <w:bodyDiv w:val="1"/>
      <w:marLeft w:val="0"/>
      <w:marRight w:val="0"/>
      <w:marTop w:val="0"/>
      <w:marBottom w:val="0"/>
      <w:divBdr>
        <w:top w:val="none" w:sz="0" w:space="0" w:color="auto"/>
        <w:left w:val="none" w:sz="0" w:space="0" w:color="auto"/>
        <w:bottom w:val="none" w:sz="0" w:space="0" w:color="auto"/>
        <w:right w:val="none" w:sz="0" w:space="0" w:color="auto"/>
      </w:divBdr>
    </w:div>
    <w:div w:id="280066528">
      <w:bodyDiv w:val="1"/>
      <w:marLeft w:val="0"/>
      <w:marRight w:val="0"/>
      <w:marTop w:val="0"/>
      <w:marBottom w:val="0"/>
      <w:divBdr>
        <w:top w:val="none" w:sz="0" w:space="0" w:color="auto"/>
        <w:left w:val="none" w:sz="0" w:space="0" w:color="auto"/>
        <w:bottom w:val="none" w:sz="0" w:space="0" w:color="auto"/>
        <w:right w:val="none" w:sz="0" w:space="0" w:color="auto"/>
      </w:divBdr>
      <w:divsChild>
        <w:div w:id="1047408857">
          <w:marLeft w:val="0"/>
          <w:marRight w:val="0"/>
          <w:marTop w:val="0"/>
          <w:marBottom w:val="0"/>
          <w:divBdr>
            <w:top w:val="none" w:sz="0" w:space="0" w:color="auto"/>
            <w:left w:val="none" w:sz="0" w:space="0" w:color="auto"/>
            <w:bottom w:val="none" w:sz="0" w:space="0" w:color="auto"/>
            <w:right w:val="none" w:sz="0" w:space="0" w:color="auto"/>
          </w:divBdr>
        </w:div>
      </w:divsChild>
    </w:div>
    <w:div w:id="295642436">
      <w:bodyDiv w:val="1"/>
      <w:marLeft w:val="0"/>
      <w:marRight w:val="0"/>
      <w:marTop w:val="0"/>
      <w:marBottom w:val="0"/>
      <w:divBdr>
        <w:top w:val="none" w:sz="0" w:space="0" w:color="auto"/>
        <w:left w:val="none" w:sz="0" w:space="0" w:color="auto"/>
        <w:bottom w:val="none" w:sz="0" w:space="0" w:color="auto"/>
        <w:right w:val="none" w:sz="0" w:space="0" w:color="auto"/>
      </w:divBdr>
    </w:div>
    <w:div w:id="339819313">
      <w:bodyDiv w:val="1"/>
      <w:marLeft w:val="0"/>
      <w:marRight w:val="0"/>
      <w:marTop w:val="0"/>
      <w:marBottom w:val="0"/>
      <w:divBdr>
        <w:top w:val="none" w:sz="0" w:space="0" w:color="auto"/>
        <w:left w:val="none" w:sz="0" w:space="0" w:color="auto"/>
        <w:bottom w:val="none" w:sz="0" w:space="0" w:color="auto"/>
        <w:right w:val="none" w:sz="0" w:space="0" w:color="auto"/>
      </w:divBdr>
    </w:div>
    <w:div w:id="351691874">
      <w:bodyDiv w:val="1"/>
      <w:marLeft w:val="0"/>
      <w:marRight w:val="0"/>
      <w:marTop w:val="0"/>
      <w:marBottom w:val="0"/>
      <w:divBdr>
        <w:top w:val="none" w:sz="0" w:space="0" w:color="auto"/>
        <w:left w:val="none" w:sz="0" w:space="0" w:color="auto"/>
        <w:bottom w:val="none" w:sz="0" w:space="0" w:color="auto"/>
        <w:right w:val="none" w:sz="0" w:space="0" w:color="auto"/>
      </w:divBdr>
    </w:div>
    <w:div w:id="356926847">
      <w:bodyDiv w:val="1"/>
      <w:marLeft w:val="0"/>
      <w:marRight w:val="0"/>
      <w:marTop w:val="0"/>
      <w:marBottom w:val="0"/>
      <w:divBdr>
        <w:top w:val="none" w:sz="0" w:space="0" w:color="auto"/>
        <w:left w:val="none" w:sz="0" w:space="0" w:color="auto"/>
        <w:bottom w:val="none" w:sz="0" w:space="0" w:color="auto"/>
        <w:right w:val="none" w:sz="0" w:space="0" w:color="auto"/>
      </w:divBdr>
    </w:div>
    <w:div w:id="382827473">
      <w:bodyDiv w:val="1"/>
      <w:marLeft w:val="0"/>
      <w:marRight w:val="0"/>
      <w:marTop w:val="0"/>
      <w:marBottom w:val="0"/>
      <w:divBdr>
        <w:top w:val="none" w:sz="0" w:space="0" w:color="auto"/>
        <w:left w:val="none" w:sz="0" w:space="0" w:color="auto"/>
        <w:bottom w:val="none" w:sz="0" w:space="0" w:color="auto"/>
        <w:right w:val="none" w:sz="0" w:space="0" w:color="auto"/>
      </w:divBdr>
      <w:divsChild>
        <w:div w:id="658196689">
          <w:marLeft w:val="0"/>
          <w:marRight w:val="0"/>
          <w:marTop w:val="0"/>
          <w:marBottom w:val="0"/>
          <w:divBdr>
            <w:top w:val="none" w:sz="0" w:space="0" w:color="auto"/>
            <w:left w:val="none" w:sz="0" w:space="0" w:color="auto"/>
            <w:bottom w:val="none" w:sz="0" w:space="0" w:color="auto"/>
            <w:right w:val="none" w:sz="0" w:space="0" w:color="auto"/>
          </w:divBdr>
        </w:div>
        <w:div w:id="733552346">
          <w:marLeft w:val="0"/>
          <w:marRight w:val="0"/>
          <w:marTop w:val="0"/>
          <w:marBottom w:val="0"/>
          <w:divBdr>
            <w:top w:val="none" w:sz="0" w:space="0" w:color="auto"/>
            <w:left w:val="none" w:sz="0" w:space="0" w:color="auto"/>
            <w:bottom w:val="none" w:sz="0" w:space="0" w:color="auto"/>
            <w:right w:val="none" w:sz="0" w:space="0" w:color="auto"/>
          </w:divBdr>
          <w:divsChild>
            <w:div w:id="726803905">
              <w:marLeft w:val="0"/>
              <w:marRight w:val="0"/>
              <w:marTop w:val="0"/>
              <w:marBottom w:val="0"/>
              <w:divBdr>
                <w:top w:val="none" w:sz="0" w:space="0" w:color="auto"/>
                <w:left w:val="none" w:sz="0" w:space="0" w:color="auto"/>
                <w:bottom w:val="none" w:sz="0" w:space="0" w:color="auto"/>
                <w:right w:val="none" w:sz="0" w:space="0" w:color="auto"/>
              </w:divBdr>
            </w:div>
            <w:div w:id="1018199944">
              <w:marLeft w:val="0"/>
              <w:marRight w:val="0"/>
              <w:marTop w:val="0"/>
              <w:marBottom w:val="0"/>
              <w:divBdr>
                <w:top w:val="none" w:sz="0" w:space="0" w:color="auto"/>
                <w:left w:val="none" w:sz="0" w:space="0" w:color="auto"/>
                <w:bottom w:val="none" w:sz="0" w:space="0" w:color="auto"/>
                <w:right w:val="none" w:sz="0" w:space="0" w:color="auto"/>
              </w:divBdr>
            </w:div>
            <w:div w:id="1347055732">
              <w:marLeft w:val="0"/>
              <w:marRight w:val="0"/>
              <w:marTop w:val="0"/>
              <w:marBottom w:val="0"/>
              <w:divBdr>
                <w:top w:val="none" w:sz="0" w:space="0" w:color="auto"/>
                <w:left w:val="none" w:sz="0" w:space="0" w:color="auto"/>
                <w:bottom w:val="none" w:sz="0" w:space="0" w:color="auto"/>
                <w:right w:val="none" w:sz="0" w:space="0" w:color="auto"/>
              </w:divBdr>
            </w:div>
            <w:div w:id="1640185774">
              <w:marLeft w:val="0"/>
              <w:marRight w:val="0"/>
              <w:marTop w:val="0"/>
              <w:marBottom w:val="0"/>
              <w:divBdr>
                <w:top w:val="none" w:sz="0" w:space="0" w:color="auto"/>
                <w:left w:val="none" w:sz="0" w:space="0" w:color="auto"/>
                <w:bottom w:val="none" w:sz="0" w:space="0" w:color="auto"/>
                <w:right w:val="none" w:sz="0" w:space="0" w:color="auto"/>
              </w:divBdr>
            </w:div>
            <w:div w:id="1747877259">
              <w:marLeft w:val="0"/>
              <w:marRight w:val="0"/>
              <w:marTop w:val="0"/>
              <w:marBottom w:val="0"/>
              <w:divBdr>
                <w:top w:val="none" w:sz="0" w:space="0" w:color="auto"/>
                <w:left w:val="none" w:sz="0" w:space="0" w:color="auto"/>
                <w:bottom w:val="none" w:sz="0" w:space="0" w:color="auto"/>
                <w:right w:val="none" w:sz="0" w:space="0" w:color="auto"/>
              </w:divBdr>
            </w:div>
          </w:divsChild>
        </w:div>
        <w:div w:id="792139534">
          <w:marLeft w:val="0"/>
          <w:marRight w:val="0"/>
          <w:marTop w:val="0"/>
          <w:marBottom w:val="0"/>
          <w:divBdr>
            <w:top w:val="none" w:sz="0" w:space="0" w:color="auto"/>
            <w:left w:val="none" w:sz="0" w:space="0" w:color="auto"/>
            <w:bottom w:val="none" w:sz="0" w:space="0" w:color="auto"/>
            <w:right w:val="none" w:sz="0" w:space="0" w:color="auto"/>
          </w:divBdr>
        </w:div>
        <w:div w:id="1948193524">
          <w:marLeft w:val="0"/>
          <w:marRight w:val="0"/>
          <w:marTop w:val="0"/>
          <w:marBottom w:val="0"/>
          <w:divBdr>
            <w:top w:val="none" w:sz="0" w:space="0" w:color="auto"/>
            <w:left w:val="none" w:sz="0" w:space="0" w:color="auto"/>
            <w:bottom w:val="none" w:sz="0" w:space="0" w:color="auto"/>
            <w:right w:val="none" w:sz="0" w:space="0" w:color="auto"/>
          </w:divBdr>
        </w:div>
      </w:divsChild>
    </w:div>
    <w:div w:id="417942251">
      <w:bodyDiv w:val="1"/>
      <w:marLeft w:val="0"/>
      <w:marRight w:val="0"/>
      <w:marTop w:val="0"/>
      <w:marBottom w:val="0"/>
      <w:divBdr>
        <w:top w:val="none" w:sz="0" w:space="0" w:color="auto"/>
        <w:left w:val="none" w:sz="0" w:space="0" w:color="auto"/>
        <w:bottom w:val="none" w:sz="0" w:space="0" w:color="auto"/>
        <w:right w:val="none" w:sz="0" w:space="0" w:color="auto"/>
      </w:divBdr>
    </w:div>
    <w:div w:id="435714858">
      <w:bodyDiv w:val="1"/>
      <w:marLeft w:val="0"/>
      <w:marRight w:val="0"/>
      <w:marTop w:val="0"/>
      <w:marBottom w:val="0"/>
      <w:divBdr>
        <w:top w:val="none" w:sz="0" w:space="0" w:color="auto"/>
        <w:left w:val="none" w:sz="0" w:space="0" w:color="auto"/>
        <w:bottom w:val="none" w:sz="0" w:space="0" w:color="auto"/>
        <w:right w:val="none" w:sz="0" w:space="0" w:color="auto"/>
      </w:divBdr>
      <w:divsChild>
        <w:div w:id="1609921945">
          <w:marLeft w:val="0"/>
          <w:marRight w:val="0"/>
          <w:marTop w:val="0"/>
          <w:marBottom w:val="0"/>
          <w:divBdr>
            <w:top w:val="none" w:sz="0" w:space="0" w:color="auto"/>
            <w:left w:val="none" w:sz="0" w:space="0" w:color="auto"/>
            <w:bottom w:val="none" w:sz="0" w:space="0" w:color="auto"/>
            <w:right w:val="none" w:sz="0" w:space="0" w:color="auto"/>
          </w:divBdr>
        </w:div>
      </w:divsChild>
    </w:div>
    <w:div w:id="487941556">
      <w:bodyDiv w:val="1"/>
      <w:marLeft w:val="0"/>
      <w:marRight w:val="0"/>
      <w:marTop w:val="0"/>
      <w:marBottom w:val="0"/>
      <w:divBdr>
        <w:top w:val="none" w:sz="0" w:space="0" w:color="auto"/>
        <w:left w:val="none" w:sz="0" w:space="0" w:color="auto"/>
        <w:bottom w:val="none" w:sz="0" w:space="0" w:color="auto"/>
        <w:right w:val="none" w:sz="0" w:space="0" w:color="auto"/>
      </w:divBdr>
    </w:div>
    <w:div w:id="505636429">
      <w:bodyDiv w:val="1"/>
      <w:marLeft w:val="0"/>
      <w:marRight w:val="0"/>
      <w:marTop w:val="0"/>
      <w:marBottom w:val="0"/>
      <w:divBdr>
        <w:top w:val="none" w:sz="0" w:space="0" w:color="auto"/>
        <w:left w:val="none" w:sz="0" w:space="0" w:color="auto"/>
        <w:bottom w:val="none" w:sz="0" w:space="0" w:color="auto"/>
        <w:right w:val="none" w:sz="0" w:space="0" w:color="auto"/>
      </w:divBdr>
    </w:div>
    <w:div w:id="541482318">
      <w:bodyDiv w:val="1"/>
      <w:marLeft w:val="0"/>
      <w:marRight w:val="0"/>
      <w:marTop w:val="0"/>
      <w:marBottom w:val="0"/>
      <w:divBdr>
        <w:top w:val="none" w:sz="0" w:space="0" w:color="auto"/>
        <w:left w:val="none" w:sz="0" w:space="0" w:color="auto"/>
        <w:bottom w:val="none" w:sz="0" w:space="0" w:color="auto"/>
        <w:right w:val="none" w:sz="0" w:space="0" w:color="auto"/>
      </w:divBdr>
    </w:div>
    <w:div w:id="548803485">
      <w:bodyDiv w:val="1"/>
      <w:marLeft w:val="0"/>
      <w:marRight w:val="0"/>
      <w:marTop w:val="0"/>
      <w:marBottom w:val="0"/>
      <w:divBdr>
        <w:top w:val="none" w:sz="0" w:space="0" w:color="auto"/>
        <w:left w:val="none" w:sz="0" w:space="0" w:color="auto"/>
        <w:bottom w:val="none" w:sz="0" w:space="0" w:color="auto"/>
        <w:right w:val="none" w:sz="0" w:space="0" w:color="auto"/>
      </w:divBdr>
    </w:div>
    <w:div w:id="555313782">
      <w:bodyDiv w:val="1"/>
      <w:marLeft w:val="0"/>
      <w:marRight w:val="0"/>
      <w:marTop w:val="0"/>
      <w:marBottom w:val="0"/>
      <w:divBdr>
        <w:top w:val="none" w:sz="0" w:space="0" w:color="auto"/>
        <w:left w:val="none" w:sz="0" w:space="0" w:color="auto"/>
        <w:bottom w:val="none" w:sz="0" w:space="0" w:color="auto"/>
        <w:right w:val="none" w:sz="0" w:space="0" w:color="auto"/>
      </w:divBdr>
    </w:div>
    <w:div w:id="576868532">
      <w:bodyDiv w:val="1"/>
      <w:marLeft w:val="0"/>
      <w:marRight w:val="0"/>
      <w:marTop w:val="0"/>
      <w:marBottom w:val="0"/>
      <w:divBdr>
        <w:top w:val="none" w:sz="0" w:space="0" w:color="auto"/>
        <w:left w:val="none" w:sz="0" w:space="0" w:color="auto"/>
        <w:bottom w:val="none" w:sz="0" w:space="0" w:color="auto"/>
        <w:right w:val="none" w:sz="0" w:space="0" w:color="auto"/>
      </w:divBdr>
    </w:div>
    <w:div w:id="581598088">
      <w:bodyDiv w:val="1"/>
      <w:marLeft w:val="0"/>
      <w:marRight w:val="0"/>
      <w:marTop w:val="0"/>
      <w:marBottom w:val="0"/>
      <w:divBdr>
        <w:top w:val="none" w:sz="0" w:space="0" w:color="auto"/>
        <w:left w:val="none" w:sz="0" w:space="0" w:color="auto"/>
        <w:bottom w:val="none" w:sz="0" w:space="0" w:color="auto"/>
        <w:right w:val="none" w:sz="0" w:space="0" w:color="auto"/>
      </w:divBdr>
    </w:div>
    <w:div w:id="591428850">
      <w:bodyDiv w:val="1"/>
      <w:marLeft w:val="0"/>
      <w:marRight w:val="0"/>
      <w:marTop w:val="0"/>
      <w:marBottom w:val="0"/>
      <w:divBdr>
        <w:top w:val="none" w:sz="0" w:space="0" w:color="auto"/>
        <w:left w:val="none" w:sz="0" w:space="0" w:color="auto"/>
        <w:bottom w:val="none" w:sz="0" w:space="0" w:color="auto"/>
        <w:right w:val="none" w:sz="0" w:space="0" w:color="auto"/>
      </w:divBdr>
    </w:div>
    <w:div w:id="616329840">
      <w:bodyDiv w:val="1"/>
      <w:marLeft w:val="0"/>
      <w:marRight w:val="0"/>
      <w:marTop w:val="0"/>
      <w:marBottom w:val="0"/>
      <w:divBdr>
        <w:top w:val="none" w:sz="0" w:space="0" w:color="auto"/>
        <w:left w:val="none" w:sz="0" w:space="0" w:color="auto"/>
        <w:bottom w:val="none" w:sz="0" w:space="0" w:color="auto"/>
        <w:right w:val="none" w:sz="0" w:space="0" w:color="auto"/>
      </w:divBdr>
    </w:div>
    <w:div w:id="617492579">
      <w:bodyDiv w:val="1"/>
      <w:marLeft w:val="0"/>
      <w:marRight w:val="0"/>
      <w:marTop w:val="0"/>
      <w:marBottom w:val="0"/>
      <w:divBdr>
        <w:top w:val="none" w:sz="0" w:space="0" w:color="auto"/>
        <w:left w:val="none" w:sz="0" w:space="0" w:color="auto"/>
        <w:bottom w:val="none" w:sz="0" w:space="0" w:color="auto"/>
        <w:right w:val="none" w:sz="0" w:space="0" w:color="auto"/>
      </w:divBdr>
    </w:div>
    <w:div w:id="649483263">
      <w:bodyDiv w:val="1"/>
      <w:marLeft w:val="0"/>
      <w:marRight w:val="0"/>
      <w:marTop w:val="0"/>
      <w:marBottom w:val="0"/>
      <w:divBdr>
        <w:top w:val="none" w:sz="0" w:space="0" w:color="auto"/>
        <w:left w:val="none" w:sz="0" w:space="0" w:color="auto"/>
        <w:bottom w:val="none" w:sz="0" w:space="0" w:color="auto"/>
        <w:right w:val="none" w:sz="0" w:space="0" w:color="auto"/>
      </w:divBdr>
    </w:div>
    <w:div w:id="650907290">
      <w:bodyDiv w:val="1"/>
      <w:marLeft w:val="0"/>
      <w:marRight w:val="0"/>
      <w:marTop w:val="0"/>
      <w:marBottom w:val="0"/>
      <w:divBdr>
        <w:top w:val="none" w:sz="0" w:space="0" w:color="auto"/>
        <w:left w:val="none" w:sz="0" w:space="0" w:color="auto"/>
        <w:bottom w:val="none" w:sz="0" w:space="0" w:color="auto"/>
        <w:right w:val="none" w:sz="0" w:space="0" w:color="auto"/>
      </w:divBdr>
    </w:div>
    <w:div w:id="673920083">
      <w:bodyDiv w:val="1"/>
      <w:marLeft w:val="0"/>
      <w:marRight w:val="0"/>
      <w:marTop w:val="0"/>
      <w:marBottom w:val="0"/>
      <w:divBdr>
        <w:top w:val="none" w:sz="0" w:space="0" w:color="auto"/>
        <w:left w:val="none" w:sz="0" w:space="0" w:color="auto"/>
        <w:bottom w:val="none" w:sz="0" w:space="0" w:color="auto"/>
        <w:right w:val="none" w:sz="0" w:space="0" w:color="auto"/>
      </w:divBdr>
      <w:divsChild>
        <w:div w:id="1146045129">
          <w:marLeft w:val="0"/>
          <w:marRight w:val="0"/>
          <w:marTop w:val="0"/>
          <w:marBottom w:val="0"/>
          <w:divBdr>
            <w:top w:val="none" w:sz="0" w:space="0" w:color="auto"/>
            <w:left w:val="none" w:sz="0" w:space="0" w:color="auto"/>
            <w:bottom w:val="none" w:sz="0" w:space="0" w:color="auto"/>
            <w:right w:val="none" w:sz="0" w:space="0" w:color="auto"/>
          </w:divBdr>
        </w:div>
      </w:divsChild>
    </w:div>
    <w:div w:id="674309717">
      <w:bodyDiv w:val="1"/>
      <w:marLeft w:val="0"/>
      <w:marRight w:val="0"/>
      <w:marTop w:val="0"/>
      <w:marBottom w:val="0"/>
      <w:divBdr>
        <w:top w:val="none" w:sz="0" w:space="0" w:color="auto"/>
        <w:left w:val="none" w:sz="0" w:space="0" w:color="auto"/>
        <w:bottom w:val="none" w:sz="0" w:space="0" w:color="auto"/>
        <w:right w:val="none" w:sz="0" w:space="0" w:color="auto"/>
      </w:divBdr>
    </w:div>
    <w:div w:id="694043223">
      <w:bodyDiv w:val="1"/>
      <w:marLeft w:val="0"/>
      <w:marRight w:val="0"/>
      <w:marTop w:val="0"/>
      <w:marBottom w:val="0"/>
      <w:divBdr>
        <w:top w:val="none" w:sz="0" w:space="0" w:color="auto"/>
        <w:left w:val="none" w:sz="0" w:space="0" w:color="auto"/>
        <w:bottom w:val="none" w:sz="0" w:space="0" w:color="auto"/>
        <w:right w:val="none" w:sz="0" w:space="0" w:color="auto"/>
      </w:divBdr>
    </w:div>
    <w:div w:id="707992455">
      <w:bodyDiv w:val="1"/>
      <w:marLeft w:val="0"/>
      <w:marRight w:val="0"/>
      <w:marTop w:val="0"/>
      <w:marBottom w:val="0"/>
      <w:divBdr>
        <w:top w:val="none" w:sz="0" w:space="0" w:color="auto"/>
        <w:left w:val="none" w:sz="0" w:space="0" w:color="auto"/>
        <w:bottom w:val="none" w:sz="0" w:space="0" w:color="auto"/>
        <w:right w:val="none" w:sz="0" w:space="0" w:color="auto"/>
      </w:divBdr>
    </w:div>
    <w:div w:id="729308665">
      <w:bodyDiv w:val="1"/>
      <w:marLeft w:val="0"/>
      <w:marRight w:val="0"/>
      <w:marTop w:val="0"/>
      <w:marBottom w:val="0"/>
      <w:divBdr>
        <w:top w:val="none" w:sz="0" w:space="0" w:color="auto"/>
        <w:left w:val="none" w:sz="0" w:space="0" w:color="auto"/>
        <w:bottom w:val="none" w:sz="0" w:space="0" w:color="auto"/>
        <w:right w:val="none" w:sz="0" w:space="0" w:color="auto"/>
      </w:divBdr>
    </w:div>
    <w:div w:id="738863247">
      <w:bodyDiv w:val="1"/>
      <w:marLeft w:val="0"/>
      <w:marRight w:val="0"/>
      <w:marTop w:val="0"/>
      <w:marBottom w:val="0"/>
      <w:divBdr>
        <w:top w:val="none" w:sz="0" w:space="0" w:color="auto"/>
        <w:left w:val="none" w:sz="0" w:space="0" w:color="auto"/>
        <w:bottom w:val="none" w:sz="0" w:space="0" w:color="auto"/>
        <w:right w:val="none" w:sz="0" w:space="0" w:color="auto"/>
      </w:divBdr>
      <w:divsChild>
        <w:div w:id="1010716275">
          <w:marLeft w:val="0"/>
          <w:marRight w:val="0"/>
          <w:marTop w:val="0"/>
          <w:marBottom w:val="0"/>
          <w:divBdr>
            <w:top w:val="none" w:sz="0" w:space="0" w:color="auto"/>
            <w:left w:val="none" w:sz="0" w:space="0" w:color="auto"/>
            <w:bottom w:val="none" w:sz="0" w:space="0" w:color="auto"/>
            <w:right w:val="none" w:sz="0" w:space="0" w:color="auto"/>
          </w:divBdr>
        </w:div>
      </w:divsChild>
    </w:div>
    <w:div w:id="740251774">
      <w:bodyDiv w:val="1"/>
      <w:marLeft w:val="0"/>
      <w:marRight w:val="0"/>
      <w:marTop w:val="0"/>
      <w:marBottom w:val="0"/>
      <w:divBdr>
        <w:top w:val="none" w:sz="0" w:space="0" w:color="auto"/>
        <w:left w:val="none" w:sz="0" w:space="0" w:color="auto"/>
        <w:bottom w:val="none" w:sz="0" w:space="0" w:color="auto"/>
        <w:right w:val="none" w:sz="0" w:space="0" w:color="auto"/>
      </w:divBdr>
    </w:div>
    <w:div w:id="811023148">
      <w:bodyDiv w:val="1"/>
      <w:marLeft w:val="0"/>
      <w:marRight w:val="0"/>
      <w:marTop w:val="0"/>
      <w:marBottom w:val="0"/>
      <w:divBdr>
        <w:top w:val="none" w:sz="0" w:space="0" w:color="auto"/>
        <w:left w:val="none" w:sz="0" w:space="0" w:color="auto"/>
        <w:bottom w:val="none" w:sz="0" w:space="0" w:color="auto"/>
        <w:right w:val="none" w:sz="0" w:space="0" w:color="auto"/>
      </w:divBdr>
    </w:div>
    <w:div w:id="811869407">
      <w:bodyDiv w:val="1"/>
      <w:marLeft w:val="0"/>
      <w:marRight w:val="0"/>
      <w:marTop w:val="0"/>
      <w:marBottom w:val="0"/>
      <w:divBdr>
        <w:top w:val="none" w:sz="0" w:space="0" w:color="auto"/>
        <w:left w:val="none" w:sz="0" w:space="0" w:color="auto"/>
        <w:bottom w:val="none" w:sz="0" w:space="0" w:color="auto"/>
        <w:right w:val="none" w:sz="0" w:space="0" w:color="auto"/>
      </w:divBdr>
    </w:div>
    <w:div w:id="823205374">
      <w:bodyDiv w:val="1"/>
      <w:marLeft w:val="0"/>
      <w:marRight w:val="0"/>
      <w:marTop w:val="0"/>
      <w:marBottom w:val="0"/>
      <w:divBdr>
        <w:top w:val="none" w:sz="0" w:space="0" w:color="auto"/>
        <w:left w:val="none" w:sz="0" w:space="0" w:color="auto"/>
        <w:bottom w:val="none" w:sz="0" w:space="0" w:color="auto"/>
        <w:right w:val="none" w:sz="0" w:space="0" w:color="auto"/>
      </w:divBdr>
    </w:div>
    <w:div w:id="837421617">
      <w:bodyDiv w:val="1"/>
      <w:marLeft w:val="0"/>
      <w:marRight w:val="0"/>
      <w:marTop w:val="0"/>
      <w:marBottom w:val="0"/>
      <w:divBdr>
        <w:top w:val="none" w:sz="0" w:space="0" w:color="auto"/>
        <w:left w:val="none" w:sz="0" w:space="0" w:color="auto"/>
        <w:bottom w:val="none" w:sz="0" w:space="0" w:color="auto"/>
        <w:right w:val="none" w:sz="0" w:space="0" w:color="auto"/>
      </w:divBdr>
    </w:div>
    <w:div w:id="837498461">
      <w:bodyDiv w:val="1"/>
      <w:marLeft w:val="0"/>
      <w:marRight w:val="0"/>
      <w:marTop w:val="0"/>
      <w:marBottom w:val="0"/>
      <w:divBdr>
        <w:top w:val="none" w:sz="0" w:space="0" w:color="auto"/>
        <w:left w:val="none" w:sz="0" w:space="0" w:color="auto"/>
        <w:bottom w:val="none" w:sz="0" w:space="0" w:color="auto"/>
        <w:right w:val="none" w:sz="0" w:space="0" w:color="auto"/>
      </w:divBdr>
    </w:div>
    <w:div w:id="848177460">
      <w:bodyDiv w:val="1"/>
      <w:marLeft w:val="0"/>
      <w:marRight w:val="0"/>
      <w:marTop w:val="0"/>
      <w:marBottom w:val="0"/>
      <w:divBdr>
        <w:top w:val="none" w:sz="0" w:space="0" w:color="auto"/>
        <w:left w:val="none" w:sz="0" w:space="0" w:color="auto"/>
        <w:bottom w:val="none" w:sz="0" w:space="0" w:color="auto"/>
        <w:right w:val="none" w:sz="0" w:space="0" w:color="auto"/>
      </w:divBdr>
    </w:div>
    <w:div w:id="867990696">
      <w:bodyDiv w:val="1"/>
      <w:marLeft w:val="0"/>
      <w:marRight w:val="0"/>
      <w:marTop w:val="0"/>
      <w:marBottom w:val="0"/>
      <w:divBdr>
        <w:top w:val="none" w:sz="0" w:space="0" w:color="auto"/>
        <w:left w:val="none" w:sz="0" w:space="0" w:color="auto"/>
        <w:bottom w:val="none" w:sz="0" w:space="0" w:color="auto"/>
        <w:right w:val="none" w:sz="0" w:space="0" w:color="auto"/>
      </w:divBdr>
    </w:div>
    <w:div w:id="885486358">
      <w:bodyDiv w:val="1"/>
      <w:marLeft w:val="0"/>
      <w:marRight w:val="0"/>
      <w:marTop w:val="0"/>
      <w:marBottom w:val="0"/>
      <w:divBdr>
        <w:top w:val="none" w:sz="0" w:space="0" w:color="auto"/>
        <w:left w:val="none" w:sz="0" w:space="0" w:color="auto"/>
        <w:bottom w:val="none" w:sz="0" w:space="0" w:color="auto"/>
        <w:right w:val="none" w:sz="0" w:space="0" w:color="auto"/>
      </w:divBdr>
    </w:div>
    <w:div w:id="892621445">
      <w:bodyDiv w:val="1"/>
      <w:marLeft w:val="0"/>
      <w:marRight w:val="0"/>
      <w:marTop w:val="0"/>
      <w:marBottom w:val="0"/>
      <w:divBdr>
        <w:top w:val="none" w:sz="0" w:space="0" w:color="auto"/>
        <w:left w:val="none" w:sz="0" w:space="0" w:color="auto"/>
        <w:bottom w:val="none" w:sz="0" w:space="0" w:color="auto"/>
        <w:right w:val="none" w:sz="0" w:space="0" w:color="auto"/>
      </w:divBdr>
    </w:div>
    <w:div w:id="899825355">
      <w:bodyDiv w:val="1"/>
      <w:marLeft w:val="0"/>
      <w:marRight w:val="0"/>
      <w:marTop w:val="0"/>
      <w:marBottom w:val="0"/>
      <w:divBdr>
        <w:top w:val="none" w:sz="0" w:space="0" w:color="auto"/>
        <w:left w:val="none" w:sz="0" w:space="0" w:color="auto"/>
        <w:bottom w:val="none" w:sz="0" w:space="0" w:color="auto"/>
        <w:right w:val="none" w:sz="0" w:space="0" w:color="auto"/>
      </w:divBdr>
    </w:div>
    <w:div w:id="900674321">
      <w:bodyDiv w:val="1"/>
      <w:marLeft w:val="0"/>
      <w:marRight w:val="0"/>
      <w:marTop w:val="0"/>
      <w:marBottom w:val="0"/>
      <w:divBdr>
        <w:top w:val="none" w:sz="0" w:space="0" w:color="auto"/>
        <w:left w:val="none" w:sz="0" w:space="0" w:color="auto"/>
        <w:bottom w:val="none" w:sz="0" w:space="0" w:color="auto"/>
        <w:right w:val="none" w:sz="0" w:space="0" w:color="auto"/>
      </w:divBdr>
    </w:div>
    <w:div w:id="907494171">
      <w:bodyDiv w:val="1"/>
      <w:marLeft w:val="0"/>
      <w:marRight w:val="0"/>
      <w:marTop w:val="0"/>
      <w:marBottom w:val="0"/>
      <w:divBdr>
        <w:top w:val="none" w:sz="0" w:space="0" w:color="auto"/>
        <w:left w:val="none" w:sz="0" w:space="0" w:color="auto"/>
        <w:bottom w:val="none" w:sz="0" w:space="0" w:color="auto"/>
        <w:right w:val="none" w:sz="0" w:space="0" w:color="auto"/>
      </w:divBdr>
    </w:div>
    <w:div w:id="928465792">
      <w:bodyDiv w:val="1"/>
      <w:marLeft w:val="0"/>
      <w:marRight w:val="0"/>
      <w:marTop w:val="0"/>
      <w:marBottom w:val="0"/>
      <w:divBdr>
        <w:top w:val="none" w:sz="0" w:space="0" w:color="auto"/>
        <w:left w:val="none" w:sz="0" w:space="0" w:color="auto"/>
        <w:bottom w:val="none" w:sz="0" w:space="0" w:color="auto"/>
        <w:right w:val="none" w:sz="0" w:space="0" w:color="auto"/>
      </w:divBdr>
    </w:div>
    <w:div w:id="932857744">
      <w:bodyDiv w:val="1"/>
      <w:marLeft w:val="0"/>
      <w:marRight w:val="0"/>
      <w:marTop w:val="0"/>
      <w:marBottom w:val="0"/>
      <w:divBdr>
        <w:top w:val="none" w:sz="0" w:space="0" w:color="auto"/>
        <w:left w:val="none" w:sz="0" w:space="0" w:color="auto"/>
        <w:bottom w:val="none" w:sz="0" w:space="0" w:color="auto"/>
        <w:right w:val="none" w:sz="0" w:space="0" w:color="auto"/>
      </w:divBdr>
      <w:divsChild>
        <w:div w:id="236408091">
          <w:marLeft w:val="0"/>
          <w:marRight w:val="0"/>
          <w:marTop w:val="0"/>
          <w:marBottom w:val="0"/>
          <w:divBdr>
            <w:top w:val="none" w:sz="0" w:space="0" w:color="auto"/>
            <w:left w:val="none" w:sz="0" w:space="0" w:color="auto"/>
            <w:bottom w:val="none" w:sz="0" w:space="0" w:color="auto"/>
            <w:right w:val="none" w:sz="0" w:space="0" w:color="auto"/>
          </w:divBdr>
        </w:div>
        <w:div w:id="528420211">
          <w:marLeft w:val="0"/>
          <w:marRight w:val="0"/>
          <w:marTop w:val="0"/>
          <w:marBottom w:val="0"/>
          <w:divBdr>
            <w:top w:val="none" w:sz="0" w:space="0" w:color="auto"/>
            <w:left w:val="none" w:sz="0" w:space="0" w:color="auto"/>
            <w:bottom w:val="none" w:sz="0" w:space="0" w:color="auto"/>
            <w:right w:val="none" w:sz="0" w:space="0" w:color="auto"/>
          </w:divBdr>
        </w:div>
        <w:div w:id="713240527">
          <w:marLeft w:val="0"/>
          <w:marRight w:val="0"/>
          <w:marTop w:val="0"/>
          <w:marBottom w:val="0"/>
          <w:divBdr>
            <w:top w:val="none" w:sz="0" w:space="0" w:color="auto"/>
            <w:left w:val="none" w:sz="0" w:space="0" w:color="auto"/>
            <w:bottom w:val="none" w:sz="0" w:space="0" w:color="auto"/>
            <w:right w:val="none" w:sz="0" w:space="0" w:color="auto"/>
          </w:divBdr>
        </w:div>
        <w:div w:id="730545419">
          <w:marLeft w:val="0"/>
          <w:marRight w:val="0"/>
          <w:marTop w:val="0"/>
          <w:marBottom w:val="0"/>
          <w:divBdr>
            <w:top w:val="none" w:sz="0" w:space="0" w:color="auto"/>
            <w:left w:val="none" w:sz="0" w:space="0" w:color="auto"/>
            <w:bottom w:val="none" w:sz="0" w:space="0" w:color="auto"/>
            <w:right w:val="none" w:sz="0" w:space="0" w:color="auto"/>
          </w:divBdr>
        </w:div>
        <w:div w:id="745151588">
          <w:marLeft w:val="0"/>
          <w:marRight w:val="0"/>
          <w:marTop w:val="0"/>
          <w:marBottom w:val="0"/>
          <w:divBdr>
            <w:top w:val="none" w:sz="0" w:space="0" w:color="auto"/>
            <w:left w:val="none" w:sz="0" w:space="0" w:color="auto"/>
            <w:bottom w:val="none" w:sz="0" w:space="0" w:color="auto"/>
            <w:right w:val="none" w:sz="0" w:space="0" w:color="auto"/>
          </w:divBdr>
        </w:div>
        <w:div w:id="1074860019">
          <w:marLeft w:val="0"/>
          <w:marRight w:val="0"/>
          <w:marTop w:val="0"/>
          <w:marBottom w:val="0"/>
          <w:divBdr>
            <w:top w:val="none" w:sz="0" w:space="0" w:color="auto"/>
            <w:left w:val="none" w:sz="0" w:space="0" w:color="auto"/>
            <w:bottom w:val="none" w:sz="0" w:space="0" w:color="auto"/>
            <w:right w:val="none" w:sz="0" w:space="0" w:color="auto"/>
          </w:divBdr>
        </w:div>
        <w:div w:id="1567493833">
          <w:marLeft w:val="0"/>
          <w:marRight w:val="0"/>
          <w:marTop w:val="0"/>
          <w:marBottom w:val="0"/>
          <w:divBdr>
            <w:top w:val="none" w:sz="0" w:space="0" w:color="auto"/>
            <w:left w:val="none" w:sz="0" w:space="0" w:color="auto"/>
            <w:bottom w:val="none" w:sz="0" w:space="0" w:color="auto"/>
            <w:right w:val="none" w:sz="0" w:space="0" w:color="auto"/>
          </w:divBdr>
        </w:div>
        <w:div w:id="1906717603">
          <w:marLeft w:val="0"/>
          <w:marRight w:val="0"/>
          <w:marTop w:val="0"/>
          <w:marBottom w:val="0"/>
          <w:divBdr>
            <w:top w:val="none" w:sz="0" w:space="0" w:color="auto"/>
            <w:left w:val="none" w:sz="0" w:space="0" w:color="auto"/>
            <w:bottom w:val="none" w:sz="0" w:space="0" w:color="auto"/>
            <w:right w:val="none" w:sz="0" w:space="0" w:color="auto"/>
          </w:divBdr>
        </w:div>
        <w:div w:id="1984385826">
          <w:marLeft w:val="0"/>
          <w:marRight w:val="0"/>
          <w:marTop w:val="0"/>
          <w:marBottom w:val="0"/>
          <w:divBdr>
            <w:top w:val="none" w:sz="0" w:space="0" w:color="auto"/>
            <w:left w:val="none" w:sz="0" w:space="0" w:color="auto"/>
            <w:bottom w:val="none" w:sz="0" w:space="0" w:color="auto"/>
            <w:right w:val="none" w:sz="0" w:space="0" w:color="auto"/>
          </w:divBdr>
        </w:div>
        <w:div w:id="2050689181">
          <w:marLeft w:val="0"/>
          <w:marRight w:val="0"/>
          <w:marTop w:val="0"/>
          <w:marBottom w:val="0"/>
          <w:divBdr>
            <w:top w:val="none" w:sz="0" w:space="0" w:color="auto"/>
            <w:left w:val="none" w:sz="0" w:space="0" w:color="auto"/>
            <w:bottom w:val="none" w:sz="0" w:space="0" w:color="auto"/>
            <w:right w:val="none" w:sz="0" w:space="0" w:color="auto"/>
          </w:divBdr>
        </w:div>
        <w:div w:id="2076850461">
          <w:marLeft w:val="0"/>
          <w:marRight w:val="0"/>
          <w:marTop w:val="0"/>
          <w:marBottom w:val="0"/>
          <w:divBdr>
            <w:top w:val="none" w:sz="0" w:space="0" w:color="auto"/>
            <w:left w:val="none" w:sz="0" w:space="0" w:color="auto"/>
            <w:bottom w:val="none" w:sz="0" w:space="0" w:color="auto"/>
            <w:right w:val="none" w:sz="0" w:space="0" w:color="auto"/>
          </w:divBdr>
        </w:div>
      </w:divsChild>
    </w:div>
    <w:div w:id="936984578">
      <w:bodyDiv w:val="1"/>
      <w:marLeft w:val="0"/>
      <w:marRight w:val="0"/>
      <w:marTop w:val="0"/>
      <w:marBottom w:val="0"/>
      <w:divBdr>
        <w:top w:val="none" w:sz="0" w:space="0" w:color="auto"/>
        <w:left w:val="none" w:sz="0" w:space="0" w:color="auto"/>
        <w:bottom w:val="none" w:sz="0" w:space="0" w:color="auto"/>
        <w:right w:val="none" w:sz="0" w:space="0" w:color="auto"/>
      </w:divBdr>
    </w:div>
    <w:div w:id="942153595">
      <w:bodyDiv w:val="1"/>
      <w:marLeft w:val="0"/>
      <w:marRight w:val="0"/>
      <w:marTop w:val="0"/>
      <w:marBottom w:val="0"/>
      <w:divBdr>
        <w:top w:val="none" w:sz="0" w:space="0" w:color="auto"/>
        <w:left w:val="none" w:sz="0" w:space="0" w:color="auto"/>
        <w:bottom w:val="none" w:sz="0" w:space="0" w:color="auto"/>
        <w:right w:val="none" w:sz="0" w:space="0" w:color="auto"/>
      </w:divBdr>
    </w:div>
    <w:div w:id="957107614">
      <w:bodyDiv w:val="1"/>
      <w:marLeft w:val="0"/>
      <w:marRight w:val="0"/>
      <w:marTop w:val="0"/>
      <w:marBottom w:val="0"/>
      <w:divBdr>
        <w:top w:val="none" w:sz="0" w:space="0" w:color="auto"/>
        <w:left w:val="none" w:sz="0" w:space="0" w:color="auto"/>
        <w:bottom w:val="none" w:sz="0" w:space="0" w:color="auto"/>
        <w:right w:val="none" w:sz="0" w:space="0" w:color="auto"/>
      </w:divBdr>
    </w:div>
    <w:div w:id="958797524">
      <w:bodyDiv w:val="1"/>
      <w:marLeft w:val="0"/>
      <w:marRight w:val="0"/>
      <w:marTop w:val="0"/>
      <w:marBottom w:val="0"/>
      <w:divBdr>
        <w:top w:val="none" w:sz="0" w:space="0" w:color="auto"/>
        <w:left w:val="none" w:sz="0" w:space="0" w:color="auto"/>
        <w:bottom w:val="none" w:sz="0" w:space="0" w:color="auto"/>
        <w:right w:val="none" w:sz="0" w:space="0" w:color="auto"/>
      </w:divBdr>
    </w:div>
    <w:div w:id="976374321">
      <w:bodyDiv w:val="1"/>
      <w:marLeft w:val="0"/>
      <w:marRight w:val="0"/>
      <w:marTop w:val="0"/>
      <w:marBottom w:val="0"/>
      <w:divBdr>
        <w:top w:val="none" w:sz="0" w:space="0" w:color="auto"/>
        <w:left w:val="none" w:sz="0" w:space="0" w:color="auto"/>
        <w:bottom w:val="none" w:sz="0" w:space="0" w:color="auto"/>
        <w:right w:val="none" w:sz="0" w:space="0" w:color="auto"/>
      </w:divBdr>
    </w:div>
    <w:div w:id="1003976762">
      <w:bodyDiv w:val="1"/>
      <w:marLeft w:val="0"/>
      <w:marRight w:val="0"/>
      <w:marTop w:val="0"/>
      <w:marBottom w:val="0"/>
      <w:divBdr>
        <w:top w:val="none" w:sz="0" w:space="0" w:color="auto"/>
        <w:left w:val="none" w:sz="0" w:space="0" w:color="auto"/>
        <w:bottom w:val="none" w:sz="0" w:space="0" w:color="auto"/>
        <w:right w:val="none" w:sz="0" w:space="0" w:color="auto"/>
      </w:divBdr>
    </w:div>
    <w:div w:id="1020281553">
      <w:bodyDiv w:val="1"/>
      <w:marLeft w:val="0"/>
      <w:marRight w:val="0"/>
      <w:marTop w:val="0"/>
      <w:marBottom w:val="0"/>
      <w:divBdr>
        <w:top w:val="none" w:sz="0" w:space="0" w:color="auto"/>
        <w:left w:val="none" w:sz="0" w:space="0" w:color="auto"/>
        <w:bottom w:val="none" w:sz="0" w:space="0" w:color="auto"/>
        <w:right w:val="none" w:sz="0" w:space="0" w:color="auto"/>
      </w:divBdr>
    </w:div>
    <w:div w:id="1077092444">
      <w:bodyDiv w:val="1"/>
      <w:marLeft w:val="0"/>
      <w:marRight w:val="0"/>
      <w:marTop w:val="0"/>
      <w:marBottom w:val="0"/>
      <w:divBdr>
        <w:top w:val="none" w:sz="0" w:space="0" w:color="auto"/>
        <w:left w:val="none" w:sz="0" w:space="0" w:color="auto"/>
        <w:bottom w:val="none" w:sz="0" w:space="0" w:color="auto"/>
        <w:right w:val="none" w:sz="0" w:space="0" w:color="auto"/>
      </w:divBdr>
    </w:div>
    <w:div w:id="1092507811">
      <w:bodyDiv w:val="1"/>
      <w:marLeft w:val="0"/>
      <w:marRight w:val="0"/>
      <w:marTop w:val="0"/>
      <w:marBottom w:val="0"/>
      <w:divBdr>
        <w:top w:val="none" w:sz="0" w:space="0" w:color="auto"/>
        <w:left w:val="none" w:sz="0" w:space="0" w:color="auto"/>
        <w:bottom w:val="none" w:sz="0" w:space="0" w:color="auto"/>
        <w:right w:val="none" w:sz="0" w:space="0" w:color="auto"/>
      </w:divBdr>
      <w:divsChild>
        <w:div w:id="184289776">
          <w:marLeft w:val="0"/>
          <w:marRight w:val="0"/>
          <w:marTop w:val="0"/>
          <w:marBottom w:val="0"/>
          <w:divBdr>
            <w:top w:val="none" w:sz="0" w:space="0" w:color="auto"/>
            <w:left w:val="none" w:sz="0" w:space="0" w:color="auto"/>
            <w:bottom w:val="none" w:sz="0" w:space="0" w:color="auto"/>
            <w:right w:val="none" w:sz="0" w:space="0" w:color="auto"/>
          </w:divBdr>
        </w:div>
        <w:div w:id="415788299">
          <w:marLeft w:val="0"/>
          <w:marRight w:val="0"/>
          <w:marTop w:val="0"/>
          <w:marBottom w:val="0"/>
          <w:divBdr>
            <w:top w:val="none" w:sz="0" w:space="0" w:color="auto"/>
            <w:left w:val="none" w:sz="0" w:space="0" w:color="auto"/>
            <w:bottom w:val="none" w:sz="0" w:space="0" w:color="auto"/>
            <w:right w:val="none" w:sz="0" w:space="0" w:color="auto"/>
          </w:divBdr>
        </w:div>
        <w:div w:id="1051461026">
          <w:marLeft w:val="0"/>
          <w:marRight w:val="0"/>
          <w:marTop w:val="0"/>
          <w:marBottom w:val="0"/>
          <w:divBdr>
            <w:top w:val="none" w:sz="0" w:space="0" w:color="auto"/>
            <w:left w:val="none" w:sz="0" w:space="0" w:color="auto"/>
            <w:bottom w:val="none" w:sz="0" w:space="0" w:color="auto"/>
            <w:right w:val="none" w:sz="0" w:space="0" w:color="auto"/>
          </w:divBdr>
        </w:div>
        <w:div w:id="1232812790">
          <w:marLeft w:val="0"/>
          <w:marRight w:val="0"/>
          <w:marTop w:val="0"/>
          <w:marBottom w:val="0"/>
          <w:divBdr>
            <w:top w:val="none" w:sz="0" w:space="0" w:color="auto"/>
            <w:left w:val="none" w:sz="0" w:space="0" w:color="auto"/>
            <w:bottom w:val="none" w:sz="0" w:space="0" w:color="auto"/>
            <w:right w:val="none" w:sz="0" w:space="0" w:color="auto"/>
          </w:divBdr>
        </w:div>
        <w:div w:id="2053647995">
          <w:marLeft w:val="0"/>
          <w:marRight w:val="0"/>
          <w:marTop w:val="0"/>
          <w:marBottom w:val="0"/>
          <w:divBdr>
            <w:top w:val="none" w:sz="0" w:space="0" w:color="auto"/>
            <w:left w:val="none" w:sz="0" w:space="0" w:color="auto"/>
            <w:bottom w:val="none" w:sz="0" w:space="0" w:color="auto"/>
            <w:right w:val="none" w:sz="0" w:space="0" w:color="auto"/>
          </w:divBdr>
        </w:div>
      </w:divsChild>
    </w:div>
    <w:div w:id="1100833146">
      <w:bodyDiv w:val="1"/>
      <w:marLeft w:val="0"/>
      <w:marRight w:val="0"/>
      <w:marTop w:val="0"/>
      <w:marBottom w:val="0"/>
      <w:divBdr>
        <w:top w:val="none" w:sz="0" w:space="0" w:color="auto"/>
        <w:left w:val="none" w:sz="0" w:space="0" w:color="auto"/>
        <w:bottom w:val="none" w:sz="0" w:space="0" w:color="auto"/>
        <w:right w:val="none" w:sz="0" w:space="0" w:color="auto"/>
      </w:divBdr>
      <w:divsChild>
        <w:div w:id="683094505">
          <w:marLeft w:val="0"/>
          <w:marRight w:val="0"/>
          <w:marTop w:val="0"/>
          <w:marBottom w:val="0"/>
          <w:divBdr>
            <w:top w:val="none" w:sz="0" w:space="0" w:color="auto"/>
            <w:left w:val="none" w:sz="0" w:space="0" w:color="auto"/>
            <w:bottom w:val="none" w:sz="0" w:space="0" w:color="auto"/>
            <w:right w:val="none" w:sz="0" w:space="0" w:color="auto"/>
          </w:divBdr>
          <w:divsChild>
            <w:div w:id="481776473">
              <w:marLeft w:val="0"/>
              <w:marRight w:val="0"/>
              <w:marTop w:val="0"/>
              <w:marBottom w:val="0"/>
              <w:divBdr>
                <w:top w:val="none" w:sz="0" w:space="0" w:color="auto"/>
                <w:left w:val="none" w:sz="0" w:space="0" w:color="auto"/>
                <w:bottom w:val="none" w:sz="0" w:space="0" w:color="auto"/>
                <w:right w:val="none" w:sz="0" w:space="0" w:color="auto"/>
              </w:divBdr>
            </w:div>
            <w:div w:id="1664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830">
      <w:bodyDiv w:val="1"/>
      <w:marLeft w:val="0"/>
      <w:marRight w:val="0"/>
      <w:marTop w:val="0"/>
      <w:marBottom w:val="0"/>
      <w:divBdr>
        <w:top w:val="none" w:sz="0" w:space="0" w:color="auto"/>
        <w:left w:val="none" w:sz="0" w:space="0" w:color="auto"/>
        <w:bottom w:val="none" w:sz="0" w:space="0" w:color="auto"/>
        <w:right w:val="none" w:sz="0" w:space="0" w:color="auto"/>
      </w:divBdr>
    </w:div>
    <w:div w:id="1126049798">
      <w:bodyDiv w:val="1"/>
      <w:marLeft w:val="0"/>
      <w:marRight w:val="0"/>
      <w:marTop w:val="0"/>
      <w:marBottom w:val="0"/>
      <w:divBdr>
        <w:top w:val="none" w:sz="0" w:space="0" w:color="auto"/>
        <w:left w:val="none" w:sz="0" w:space="0" w:color="auto"/>
        <w:bottom w:val="none" w:sz="0" w:space="0" w:color="auto"/>
        <w:right w:val="none" w:sz="0" w:space="0" w:color="auto"/>
      </w:divBdr>
    </w:div>
    <w:div w:id="1151992691">
      <w:bodyDiv w:val="1"/>
      <w:marLeft w:val="0"/>
      <w:marRight w:val="0"/>
      <w:marTop w:val="0"/>
      <w:marBottom w:val="0"/>
      <w:divBdr>
        <w:top w:val="none" w:sz="0" w:space="0" w:color="auto"/>
        <w:left w:val="none" w:sz="0" w:space="0" w:color="auto"/>
        <w:bottom w:val="none" w:sz="0" w:space="0" w:color="auto"/>
        <w:right w:val="none" w:sz="0" w:space="0" w:color="auto"/>
      </w:divBdr>
    </w:div>
    <w:div w:id="1155608598">
      <w:bodyDiv w:val="1"/>
      <w:marLeft w:val="0"/>
      <w:marRight w:val="0"/>
      <w:marTop w:val="0"/>
      <w:marBottom w:val="0"/>
      <w:divBdr>
        <w:top w:val="none" w:sz="0" w:space="0" w:color="auto"/>
        <w:left w:val="none" w:sz="0" w:space="0" w:color="auto"/>
        <w:bottom w:val="none" w:sz="0" w:space="0" w:color="auto"/>
        <w:right w:val="none" w:sz="0" w:space="0" w:color="auto"/>
      </w:divBdr>
    </w:div>
    <w:div w:id="1172256501">
      <w:bodyDiv w:val="1"/>
      <w:marLeft w:val="0"/>
      <w:marRight w:val="0"/>
      <w:marTop w:val="0"/>
      <w:marBottom w:val="0"/>
      <w:divBdr>
        <w:top w:val="none" w:sz="0" w:space="0" w:color="auto"/>
        <w:left w:val="none" w:sz="0" w:space="0" w:color="auto"/>
        <w:bottom w:val="none" w:sz="0" w:space="0" w:color="auto"/>
        <w:right w:val="none" w:sz="0" w:space="0" w:color="auto"/>
      </w:divBdr>
    </w:div>
    <w:div w:id="1173254282">
      <w:bodyDiv w:val="1"/>
      <w:marLeft w:val="0"/>
      <w:marRight w:val="0"/>
      <w:marTop w:val="0"/>
      <w:marBottom w:val="0"/>
      <w:divBdr>
        <w:top w:val="none" w:sz="0" w:space="0" w:color="auto"/>
        <w:left w:val="none" w:sz="0" w:space="0" w:color="auto"/>
        <w:bottom w:val="none" w:sz="0" w:space="0" w:color="auto"/>
        <w:right w:val="none" w:sz="0" w:space="0" w:color="auto"/>
      </w:divBdr>
    </w:div>
    <w:div w:id="1187792673">
      <w:bodyDiv w:val="1"/>
      <w:marLeft w:val="0"/>
      <w:marRight w:val="0"/>
      <w:marTop w:val="0"/>
      <w:marBottom w:val="0"/>
      <w:divBdr>
        <w:top w:val="none" w:sz="0" w:space="0" w:color="auto"/>
        <w:left w:val="none" w:sz="0" w:space="0" w:color="auto"/>
        <w:bottom w:val="none" w:sz="0" w:space="0" w:color="auto"/>
        <w:right w:val="none" w:sz="0" w:space="0" w:color="auto"/>
      </w:divBdr>
    </w:div>
    <w:div w:id="1209605422">
      <w:bodyDiv w:val="1"/>
      <w:marLeft w:val="0"/>
      <w:marRight w:val="0"/>
      <w:marTop w:val="0"/>
      <w:marBottom w:val="0"/>
      <w:divBdr>
        <w:top w:val="none" w:sz="0" w:space="0" w:color="auto"/>
        <w:left w:val="none" w:sz="0" w:space="0" w:color="auto"/>
        <w:bottom w:val="none" w:sz="0" w:space="0" w:color="auto"/>
        <w:right w:val="none" w:sz="0" w:space="0" w:color="auto"/>
      </w:divBdr>
    </w:div>
    <w:div w:id="1218669481">
      <w:bodyDiv w:val="1"/>
      <w:marLeft w:val="0"/>
      <w:marRight w:val="0"/>
      <w:marTop w:val="0"/>
      <w:marBottom w:val="0"/>
      <w:divBdr>
        <w:top w:val="none" w:sz="0" w:space="0" w:color="auto"/>
        <w:left w:val="none" w:sz="0" w:space="0" w:color="auto"/>
        <w:bottom w:val="none" w:sz="0" w:space="0" w:color="auto"/>
        <w:right w:val="none" w:sz="0" w:space="0" w:color="auto"/>
      </w:divBdr>
    </w:div>
    <w:div w:id="1235048465">
      <w:bodyDiv w:val="1"/>
      <w:marLeft w:val="0"/>
      <w:marRight w:val="0"/>
      <w:marTop w:val="0"/>
      <w:marBottom w:val="0"/>
      <w:divBdr>
        <w:top w:val="none" w:sz="0" w:space="0" w:color="auto"/>
        <w:left w:val="none" w:sz="0" w:space="0" w:color="auto"/>
        <w:bottom w:val="none" w:sz="0" w:space="0" w:color="auto"/>
        <w:right w:val="none" w:sz="0" w:space="0" w:color="auto"/>
      </w:divBdr>
    </w:div>
    <w:div w:id="1244217393">
      <w:bodyDiv w:val="1"/>
      <w:marLeft w:val="0"/>
      <w:marRight w:val="0"/>
      <w:marTop w:val="0"/>
      <w:marBottom w:val="0"/>
      <w:divBdr>
        <w:top w:val="none" w:sz="0" w:space="0" w:color="auto"/>
        <w:left w:val="none" w:sz="0" w:space="0" w:color="auto"/>
        <w:bottom w:val="none" w:sz="0" w:space="0" w:color="auto"/>
        <w:right w:val="none" w:sz="0" w:space="0" w:color="auto"/>
      </w:divBdr>
    </w:div>
    <w:div w:id="1261525388">
      <w:bodyDiv w:val="1"/>
      <w:marLeft w:val="0"/>
      <w:marRight w:val="0"/>
      <w:marTop w:val="0"/>
      <w:marBottom w:val="0"/>
      <w:divBdr>
        <w:top w:val="none" w:sz="0" w:space="0" w:color="auto"/>
        <w:left w:val="none" w:sz="0" w:space="0" w:color="auto"/>
        <w:bottom w:val="none" w:sz="0" w:space="0" w:color="auto"/>
        <w:right w:val="none" w:sz="0" w:space="0" w:color="auto"/>
      </w:divBdr>
    </w:div>
    <w:div w:id="1273443099">
      <w:bodyDiv w:val="1"/>
      <w:marLeft w:val="0"/>
      <w:marRight w:val="0"/>
      <w:marTop w:val="0"/>
      <w:marBottom w:val="0"/>
      <w:divBdr>
        <w:top w:val="none" w:sz="0" w:space="0" w:color="auto"/>
        <w:left w:val="none" w:sz="0" w:space="0" w:color="auto"/>
        <w:bottom w:val="none" w:sz="0" w:space="0" w:color="auto"/>
        <w:right w:val="none" w:sz="0" w:space="0" w:color="auto"/>
      </w:divBdr>
    </w:div>
    <w:div w:id="1290087494">
      <w:bodyDiv w:val="1"/>
      <w:marLeft w:val="0"/>
      <w:marRight w:val="0"/>
      <w:marTop w:val="0"/>
      <w:marBottom w:val="0"/>
      <w:divBdr>
        <w:top w:val="none" w:sz="0" w:space="0" w:color="auto"/>
        <w:left w:val="none" w:sz="0" w:space="0" w:color="auto"/>
        <w:bottom w:val="none" w:sz="0" w:space="0" w:color="auto"/>
        <w:right w:val="none" w:sz="0" w:space="0" w:color="auto"/>
      </w:divBdr>
    </w:div>
    <w:div w:id="1315639906">
      <w:bodyDiv w:val="1"/>
      <w:marLeft w:val="0"/>
      <w:marRight w:val="0"/>
      <w:marTop w:val="0"/>
      <w:marBottom w:val="0"/>
      <w:divBdr>
        <w:top w:val="none" w:sz="0" w:space="0" w:color="auto"/>
        <w:left w:val="none" w:sz="0" w:space="0" w:color="auto"/>
        <w:bottom w:val="none" w:sz="0" w:space="0" w:color="auto"/>
        <w:right w:val="none" w:sz="0" w:space="0" w:color="auto"/>
      </w:divBdr>
    </w:div>
    <w:div w:id="1318191635">
      <w:bodyDiv w:val="1"/>
      <w:marLeft w:val="0"/>
      <w:marRight w:val="0"/>
      <w:marTop w:val="0"/>
      <w:marBottom w:val="0"/>
      <w:divBdr>
        <w:top w:val="none" w:sz="0" w:space="0" w:color="auto"/>
        <w:left w:val="none" w:sz="0" w:space="0" w:color="auto"/>
        <w:bottom w:val="none" w:sz="0" w:space="0" w:color="auto"/>
        <w:right w:val="none" w:sz="0" w:space="0" w:color="auto"/>
      </w:divBdr>
    </w:div>
    <w:div w:id="1341813907">
      <w:bodyDiv w:val="1"/>
      <w:marLeft w:val="0"/>
      <w:marRight w:val="0"/>
      <w:marTop w:val="0"/>
      <w:marBottom w:val="0"/>
      <w:divBdr>
        <w:top w:val="none" w:sz="0" w:space="0" w:color="auto"/>
        <w:left w:val="none" w:sz="0" w:space="0" w:color="auto"/>
        <w:bottom w:val="none" w:sz="0" w:space="0" w:color="auto"/>
        <w:right w:val="none" w:sz="0" w:space="0" w:color="auto"/>
      </w:divBdr>
    </w:div>
    <w:div w:id="1395742298">
      <w:bodyDiv w:val="1"/>
      <w:marLeft w:val="0"/>
      <w:marRight w:val="0"/>
      <w:marTop w:val="0"/>
      <w:marBottom w:val="0"/>
      <w:divBdr>
        <w:top w:val="none" w:sz="0" w:space="0" w:color="auto"/>
        <w:left w:val="none" w:sz="0" w:space="0" w:color="auto"/>
        <w:bottom w:val="none" w:sz="0" w:space="0" w:color="auto"/>
        <w:right w:val="none" w:sz="0" w:space="0" w:color="auto"/>
      </w:divBdr>
    </w:div>
    <w:div w:id="1396782811">
      <w:bodyDiv w:val="1"/>
      <w:marLeft w:val="0"/>
      <w:marRight w:val="0"/>
      <w:marTop w:val="0"/>
      <w:marBottom w:val="0"/>
      <w:divBdr>
        <w:top w:val="none" w:sz="0" w:space="0" w:color="auto"/>
        <w:left w:val="none" w:sz="0" w:space="0" w:color="auto"/>
        <w:bottom w:val="none" w:sz="0" w:space="0" w:color="auto"/>
        <w:right w:val="none" w:sz="0" w:space="0" w:color="auto"/>
      </w:divBdr>
    </w:div>
    <w:div w:id="1400446576">
      <w:bodyDiv w:val="1"/>
      <w:marLeft w:val="0"/>
      <w:marRight w:val="0"/>
      <w:marTop w:val="0"/>
      <w:marBottom w:val="0"/>
      <w:divBdr>
        <w:top w:val="none" w:sz="0" w:space="0" w:color="auto"/>
        <w:left w:val="none" w:sz="0" w:space="0" w:color="auto"/>
        <w:bottom w:val="none" w:sz="0" w:space="0" w:color="auto"/>
        <w:right w:val="none" w:sz="0" w:space="0" w:color="auto"/>
      </w:divBdr>
    </w:div>
    <w:div w:id="1407804674">
      <w:bodyDiv w:val="1"/>
      <w:marLeft w:val="0"/>
      <w:marRight w:val="0"/>
      <w:marTop w:val="0"/>
      <w:marBottom w:val="0"/>
      <w:divBdr>
        <w:top w:val="none" w:sz="0" w:space="0" w:color="auto"/>
        <w:left w:val="none" w:sz="0" w:space="0" w:color="auto"/>
        <w:bottom w:val="none" w:sz="0" w:space="0" w:color="auto"/>
        <w:right w:val="none" w:sz="0" w:space="0" w:color="auto"/>
      </w:divBdr>
    </w:div>
    <w:div w:id="1411854149">
      <w:bodyDiv w:val="1"/>
      <w:marLeft w:val="0"/>
      <w:marRight w:val="0"/>
      <w:marTop w:val="0"/>
      <w:marBottom w:val="0"/>
      <w:divBdr>
        <w:top w:val="none" w:sz="0" w:space="0" w:color="auto"/>
        <w:left w:val="none" w:sz="0" w:space="0" w:color="auto"/>
        <w:bottom w:val="none" w:sz="0" w:space="0" w:color="auto"/>
        <w:right w:val="none" w:sz="0" w:space="0" w:color="auto"/>
      </w:divBdr>
    </w:div>
    <w:div w:id="1438211148">
      <w:bodyDiv w:val="1"/>
      <w:marLeft w:val="0"/>
      <w:marRight w:val="0"/>
      <w:marTop w:val="0"/>
      <w:marBottom w:val="0"/>
      <w:divBdr>
        <w:top w:val="none" w:sz="0" w:space="0" w:color="auto"/>
        <w:left w:val="none" w:sz="0" w:space="0" w:color="auto"/>
        <w:bottom w:val="none" w:sz="0" w:space="0" w:color="auto"/>
        <w:right w:val="none" w:sz="0" w:space="0" w:color="auto"/>
      </w:divBdr>
    </w:div>
    <w:div w:id="1440904734">
      <w:bodyDiv w:val="1"/>
      <w:marLeft w:val="0"/>
      <w:marRight w:val="0"/>
      <w:marTop w:val="0"/>
      <w:marBottom w:val="0"/>
      <w:divBdr>
        <w:top w:val="none" w:sz="0" w:space="0" w:color="auto"/>
        <w:left w:val="none" w:sz="0" w:space="0" w:color="auto"/>
        <w:bottom w:val="none" w:sz="0" w:space="0" w:color="auto"/>
        <w:right w:val="none" w:sz="0" w:space="0" w:color="auto"/>
      </w:divBdr>
    </w:div>
    <w:div w:id="1448697565">
      <w:bodyDiv w:val="1"/>
      <w:marLeft w:val="0"/>
      <w:marRight w:val="0"/>
      <w:marTop w:val="0"/>
      <w:marBottom w:val="0"/>
      <w:divBdr>
        <w:top w:val="none" w:sz="0" w:space="0" w:color="auto"/>
        <w:left w:val="none" w:sz="0" w:space="0" w:color="auto"/>
        <w:bottom w:val="none" w:sz="0" w:space="0" w:color="auto"/>
        <w:right w:val="none" w:sz="0" w:space="0" w:color="auto"/>
      </w:divBdr>
    </w:div>
    <w:div w:id="1477449789">
      <w:bodyDiv w:val="1"/>
      <w:marLeft w:val="0"/>
      <w:marRight w:val="0"/>
      <w:marTop w:val="0"/>
      <w:marBottom w:val="0"/>
      <w:divBdr>
        <w:top w:val="none" w:sz="0" w:space="0" w:color="auto"/>
        <w:left w:val="none" w:sz="0" w:space="0" w:color="auto"/>
        <w:bottom w:val="none" w:sz="0" w:space="0" w:color="auto"/>
        <w:right w:val="none" w:sz="0" w:space="0" w:color="auto"/>
      </w:divBdr>
    </w:div>
    <w:div w:id="1482045019">
      <w:bodyDiv w:val="1"/>
      <w:marLeft w:val="0"/>
      <w:marRight w:val="0"/>
      <w:marTop w:val="0"/>
      <w:marBottom w:val="0"/>
      <w:divBdr>
        <w:top w:val="none" w:sz="0" w:space="0" w:color="auto"/>
        <w:left w:val="none" w:sz="0" w:space="0" w:color="auto"/>
        <w:bottom w:val="none" w:sz="0" w:space="0" w:color="auto"/>
        <w:right w:val="none" w:sz="0" w:space="0" w:color="auto"/>
      </w:divBdr>
    </w:div>
    <w:div w:id="1498694327">
      <w:bodyDiv w:val="1"/>
      <w:marLeft w:val="0"/>
      <w:marRight w:val="0"/>
      <w:marTop w:val="0"/>
      <w:marBottom w:val="0"/>
      <w:divBdr>
        <w:top w:val="none" w:sz="0" w:space="0" w:color="auto"/>
        <w:left w:val="none" w:sz="0" w:space="0" w:color="auto"/>
        <w:bottom w:val="none" w:sz="0" w:space="0" w:color="auto"/>
        <w:right w:val="none" w:sz="0" w:space="0" w:color="auto"/>
      </w:divBdr>
    </w:div>
    <w:div w:id="1550455179">
      <w:bodyDiv w:val="1"/>
      <w:marLeft w:val="0"/>
      <w:marRight w:val="0"/>
      <w:marTop w:val="0"/>
      <w:marBottom w:val="0"/>
      <w:divBdr>
        <w:top w:val="none" w:sz="0" w:space="0" w:color="auto"/>
        <w:left w:val="none" w:sz="0" w:space="0" w:color="auto"/>
        <w:bottom w:val="none" w:sz="0" w:space="0" w:color="auto"/>
        <w:right w:val="none" w:sz="0" w:space="0" w:color="auto"/>
      </w:divBdr>
    </w:div>
    <w:div w:id="1561403873">
      <w:bodyDiv w:val="1"/>
      <w:marLeft w:val="0"/>
      <w:marRight w:val="0"/>
      <w:marTop w:val="0"/>
      <w:marBottom w:val="0"/>
      <w:divBdr>
        <w:top w:val="none" w:sz="0" w:space="0" w:color="auto"/>
        <w:left w:val="none" w:sz="0" w:space="0" w:color="auto"/>
        <w:bottom w:val="none" w:sz="0" w:space="0" w:color="auto"/>
        <w:right w:val="none" w:sz="0" w:space="0" w:color="auto"/>
      </w:divBdr>
    </w:div>
    <w:div w:id="1562062396">
      <w:bodyDiv w:val="1"/>
      <w:marLeft w:val="0"/>
      <w:marRight w:val="0"/>
      <w:marTop w:val="0"/>
      <w:marBottom w:val="0"/>
      <w:divBdr>
        <w:top w:val="none" w:sz="0" w:space="0" w:color="auto"/>
        <w:left w:val="none" w:sz="0" w:space="0" w:color="auto"/>
        <w:bottom w:val="none" w:sz="0" w:space="0" w:color="auto"/>
        <w:right w:val="none" w:sz="0" w:space="0" w:color="auto"/>
      </w:divBdr>
    </w:div>
    <w:div w:id="1587301546">
      <w:bodyDiv w:val="1"/>
      <w:marLeft w:val="0"/>
      <w:marRight w:val="0"/>
      <w:marTop w:val="0"/>
      <w:marBottom w:val="0"/>
      <w:divBdr>
        <w:top w:val="none" w:sz="0" w:space="0" w:color="auto"/>
        <w:left w:val="none" w:sz="0" w:space="0" w:color="auto"/>
        <w:bottom w:val="none" w:sz="0" w:space="0" w:color="auto"/>
        <w:right w:val="none" w:sz="0" w:space="0" w:color="auto"/>
      </w:divBdr>
    </w:div>
    <w:div w:id="1637368421">
      <w:bodyDiv w:val="1"/>
      <w:marLeft w:val="0"/>
      <w:marRight w:val="0"/>
      <w:marTop w:val="0"/>
      <w:marBottom w:val="0"/>
      <w:divBdr>
        <w:top w:val="none" w:sz="0" w:space="0" w:color="auto"/>
        <w:left w:val="none" w:sz="0" w:space="0" w:color="auto"/>
        <w:bottom w:val="none" w:sz="0" w:space="0" w:color="auto"/>
        <w:right w:val="none" w:sz="0" w:space="0" w:color="auto"/>
      </w:divBdr>
    </w:div>
    <w:div w:id="1647202440">
      <w:bodyDiv w:val="1"/>
      <w:marLeft w:val="0"/>
      <w:marRight w:val="0"/>
      <w:marTop w:val="0"/>
      <w:marBottom w:val="0"/>
      <w:divBdr>
        <w:top w:val="none" w:sz="0" w:space="0" w:color="auto"/>
        <w:left w:val="none" w:sz="0" w:space="0" w:color="auto"/>
        <w:bottom w:val="none" w:sz="0" w:space="0" w:color="auto"/>
        <w:right w:val="none" w:sz="0" w:space="0" w:color="auto"/>
      </w:divBdr>
    </w:div>
    <w:div w:id="1684748317">
      <w:bodyDiv w:val="1"/>
      <w:marLeft w:val="0"/>
      <w:marRight w:val="0"/>
      <w:marTop w:val="0"/>
      <w:marBottom w:val="0"/>
      <w:divBdr>
        <w:top w:val="none" w:sz="0" w:space="0" w:color="auto"/>
        <w:left w:val="none" w:sz="0" w:space="0" w:color="auto"/>
        <w:bottom w:val="none" w:sz="0" w:space="0" w:color="auto"/>
        <w:right w:val="none" w:sz="0" w:space="0" w:color="auto"/>
      </w:divBdr>
    </w:div>
    <w:div w:id="1690908676">
      <w:bodyDiv w:val="1"/>
      <w:marLeft w:val="0"/>
      <w:marRight w:val="0"/>
      <w:marTop w:val="0"/>
      <w:marBottom w:val="0"/>
      <w:divBdr>
        <w:top w:val="none" w:sz="0" w:space="0" w:color="auto"/>
        <w:left w:val="none" w:sz="0" w:space="0" w:color="auto"/>
        <w:bottom w:val="none" w:sz="0" w:space="0" w:color="auto"/>
        <w:right w:val="none" w:sz="0" w:space="0" w:color="auto"/>
      </w:divBdr>
    </w:div>
    <w:div w:id="1701512366">
      <w:bodyDiv w:val="1"/>
      <w:marLeft w:val="0"/>
      <w:marRight w:val="0"/>
      <w:marTop w:val="0"/>
      <w:marBottom w:val="0"/>
      <w:divBdr>
        <w:top w:val="none" w:sz="0" w:space="0" w:color="auto"/>
        <w:left w:val="none" w:sz="0" w:space="0" w:color="auto"/>
        <w:bottom w:val="none" w:sz="0" w:space="0" w:color="auto"/>
        <w:right w:val="none" w:sz="0" w:space="0" w:color="auto"/>
      </w:divBdr>
      <w:divsChild>
        <w:div w:id="603340016">
          <w:marLeft w:val="0"/>
          <w:marRight w:val="0"/>
          <w:marTop w:val="0"/>
          <w:marBottom w:val="0"/>
          <w:divBdr>
            <w:top w:val="none" w:sz="0" w:space="0" w:color="auto"/>
            <w:left w:val="none" w:sz="0" w:space="0" w:color="auto"/>
            <w:bottom w:val="none" w:sz="0" w:space="0" w:color="auto"/>
            <w:right w:val="none" w:sz="0" w:space="0" w:color="auto"/>
          </w:divBdr>
        </w:div>
        <w:div w:id="996686925">
          <w:marLeft w:val="0"/>
          <w:marRight w:val="0"/>
          <w:marTop w:val="0"/>
          <w:marBottom w:val="0"/>
          <w:divBdr>
            <w:top w:val="none" w:sz="0" w:space="0" w:color="auto"/>
            <w:left w:val="none" w:sz="0" w:space="0" w:color="auto"/>
            <w:bottom w:val="none" w:sz="0" w:space="0" w:color="auto"/>
            <w:right w:val="none" w:sz="0" w:space="0" w:color="auto"/>
          </w:divBdr>
        </w:div>
        <w:div w:id="1660110574">
          <w:marLeft w:val="0"/>
          <w:marRight w:val="0"/>
          <w:marTop w:val="0"/>
          <w:marBottom w:val="0"/>
          <w:divBdr>
            <w:top w:val="none" w:sz="0" w:space="0" w:color="auto"/>
            <w:left w:val="none" w:sz="0" w:space="0" w:color="auto"/>
            <w:bottom w:val="none" w:sz="0" w:space="0" w:color="auto"/>
            <w:right w:val="none" w:sz="0" w:space="0" w:color="auto"/>
          </w:divBdr>
        </w:div>
        <w:div w:id="1796751572">
          <w:marLeft w:val="0"/>
          <w:marRight w:val="0"/>
          <w:marTop w:val="0"/>
          <w:marBottom w:val="0"/>
          <w:divBdr>
            <w:top w:val="none" w:sz="0" w:space="0" w:color="auto"/>
            <w:left w:val="none" w:sz="0" w:space="0" w:color="auto"/>
            <w:bottom w:val="none" w:sz="0" w:space="0" w:color="auto"/>
            <w:right w:val="none" w:sz="0" w:space="0" w:color="auto"/>
          </w:divBdr>
        </w:div>
      </w:divsChild>
    </w:div>
    <w:div w:id="1733695008">
      <w:bodyDiv w:val="1"/>
      <w:marLeft w:val="0"/>
      <w:marRight w:val="0"/>
      <w:marTop w:val="0"/>
      <w:marBottom w:val="0"/>
      <w:divBdr>
        <w:top w:val="none" w:sz="0" w:space="0" w:color="auto"/>
        <w:left w:val="none" w:sz="0" w:space="0" w:color="auto"/>
        <w:bottom w:val="none" w:sz="0" w:space="0" w:color="auto"/>
        <w:right w:val="none" w:sz="0" w:space="0" w:color="auto"/>
      </w:divBdr>
      <w:divsChild>
        <w:div w:id="2004894110">
          <w:marLeft w:val="0"/>
          <w:marRight w:val="0"/>
          <w:marTop w:val="0"/>
          <w:marBottom w:val="0"/>
          <w:divBdr>
            <w:top w:val="none" w:sz="0" w:space="0" w:color="auto"/>
            <w:left w:val="none" w:sz="0" w:space="0" w:color="auto"/>
            <w:bottom w:val="none" w:sz="0" w:space="0" w:color="auto"/>
            <w:right w:val="none" w:sz="0" w:space="0" w:color="auto"/>
          </w:divBdr>
        </w:div>
      </w:divsChild>
    </w:div>
    <w:div w:id="1738892730">
      <w:bodyDiv w:val="1"/>
      <w:marLeft w:val="0"/>
      <w:marRight w:val="0"/>
      <w:marTop w:val="0"/>
      <w:marBottom w:val="0"/>
      <w:divBdr>
        <w:top w:val="none" w:sz="0" w:space="0" w:color="auto"/>
        <w:left w:val="none" w:sz="0" w:space="0" w:color="auto"/>
        <w:bottom w:val="none" w:sz="0" w:space="0" w:color="auto"/>
        <w:right w:val="none" w:sz="0" w:space="0" w:color="auto"/>
      </w:divBdr>
    </w:div>
    <w:div w:id="1760250150">
      <w:bodyDiv w:val="1"/>
      <w:marLeft w:val="0"/>
      <w:marRight w:val="0"/>
      <w:marTop w:val="0"/>
      <w:marBottom w:val="0"/>
      <w:divBdr>
        <w:top w:val="none" w:sz="0" w:space="0" w:color="auto"/>
        <w:left w:val="none" w:sz="0" w:space="0" w:color="auto"/>
        <w:bottom w:val="none" w:sz="0" w:space="0" w:color="auto"/>
        <w:right w:val="none" w:sz="0" w:space="0" w:color="auto"/>
      </w:divBdr>
    </w:div>
    <w:div w:id="1769160297">
      <w:bodyDiv w:val="1"/>
      <w:marLeft w:val="0"/>
      <w:marRight w:val="0"/>
      <w:marTop w:val="0"/>
      <w:marBottom w:val="0"/>
      <w:divBdr>
        <w:top w:val="none" w:sz="0" w:space="0" w:color="auto"/>
        <w:left w:val="none" w:sz="0" w:space="0" w:color="auto"/>
        <w:bottom w:val="none" w:sz="0" w:space="0" w:color="auto"/>
        <w:right w:val="none" w:sz="0" w:space="0" w:color="auto"/>
      </w:divBdr>
    </w:div>
    <w:div w:id="1785997592">
      <w:bodyDiv w:val="1"/>
      <w:marLeft w:val="0"/>
      <w:marRight w:val="0"/>
      <w:marTop w:val="0"/>
      <w:marBottom w:val="0"/>
      <w:divBdr>
        <w:top w:val="none" w:sz="0" w:space="0" w:color="auto"/>
        <w:left w:val="none" w:sz="0" w:space="0" w:color="auto"/>
        <w:bottom w:val="none" w:sz="0" w:space="0" w:color="auto"/>
        <w:right w:val="none" w:sz="0" w:space="0" w:color="auto"/>
      </w:divBdr>
    </w:div>
    <w:div w:id="1799295924">
      <w:bodyDiv w:val="1"/>
      <w:marLeft w:val="0"/>
      <w:marRight w:val="0"/>
      <w:marTop w:val="0"/>
      <w:marBottom w:val="0"/>
      <w:divBdr>
        <w:top w:val="none" w:sz="0" w:space="0" w:color="auto"/>
        <w:left w:val="none" w:sz="0" w:space="0" w:color="auto"/>
        <w:bottom w:val="none" w:sz="0" w:space="0" w:color="auto"/>
        <w:right w:val="none" w:sz="0" w:space="0" w:color="auto"/>
      </w:divBdr>
    </w:div>
    <w:div w:id="1802109797">
      <w:bodyDiv w:val="1"/>
      <w:marLeft w:val="0"/>
      <w:marRight w:val="0"/>
      <w:marTop w:val="0"/>
      <w:marBottom w:val="0"/>
      <w:divBdr>
        <w:top w:val="none" w:sz="0" w:space="0" w:color="auto"/>
        <w:left w:val="none" w:sz="0" w:space="0" w:color="auto"/>
        <w:bottom w:val="none" w:sz="0" w:space="0" w:color="auto"/>
        <w:right w:val="none" w:sz="0" w:space="0" w:color="auto"/>
      </w:divBdr>
    </w:div>
    <w:div w:id="1805269977">
      <w:bodyDiv w:val="1"/>
      <w:marLeft w:val="0"/>
      <w:marRight w:val="0"/>
      <w:marTop w:val="0"/>
      <w:marBottom w:val="0"/>
      <w:divBdr>
        <w:top w:val="none" w:sz="0" w:space="0" w:color="auto"/>
        <w:left w:val="none" w:sz="0" w:space="0" w:color="auto"/>
        <w:bottom w:val="none" w:sz="0" w:space="0" w:color="auto"/>
        <w:right w:val="none" w:sz="0" w:space="0" w:color="auto"/>
      </w:divBdr>
    </w:div>
    <w:div w:id="1809199027">
      <w:bodyDiv w:val="1"/>
      <w:marLeft w:val="0"/>
      <w:marRight w:val="0"/>
      <w:marTop w:val="0"/>
      <w:marBottom w:val="0"/>
      <w:divBdr>
        <w:top w:val="none" w:sz="0" w:space="0" w:color="auto"/>
        <w:left w:val="none" w:sz="0" w:space="0" w:color="auto"/>
        <w:bottom w:val="none" w:sz="0" w:space="0" w:color="auto"/>
        <w:right w:val="none" w:sz="0" w:space="0" w:color="auto"/>
      </w:divBdr>
    </w:div>
    <w:div w:id="1819102520">
      <w:bodyDiv w:val="1"/>
      <w:marLeft w:val="0"/>
      <w:marRight w:val="0"/>
      <w:marTop w:val="0"/>
      <w:marBottom w:val="0"/>
      <w:divBdr>
        <w:top w:val="none" w:sz="0" w:space="0" w:color="auto"/>
        <w:left w:val="none" w:sz="0" w:space="0" w:color="auto"/>
        <w:bottom w:val="none" w:sz="0" w:space="0" w:color="auto"/>
        <w:right w:val="none" w:sz="0" w:space="0" w:color="auto"/>
      </w:divBdr>
    </w:div>
    <w:div w:id="1823278489">
      <w:bodyDiv w:val="1"/>
      <w:marLeft w:val="0"/>
      <w:marRight w:val="0"/>
      <w:marTop w:val="0"/>
      <w:marBottom w:val="0"/>
      <w:divBdr>
        <w:top w:val="none" w:sz="0" w:space="0" w:color="auto"/>
        <w:left w:val="none" w:sz="0" w:space="0" w:color="auto"/>
        <w:bottom w:val="none" w:sz="0" w:space="0" w:color="auto"/>
        <w:right w:val="none" w:sz="0" w:space="0" w:color="auto"/>
      </w:divBdr>
    </w:div>
    <w:div w:id="1846241161">
      <w:bodyDiv w:val="1"/>
      <w:marLeft w:val="0"/>
      <w:marRight w:val="0"/>
      <w:marTop w:val="0"/>
      <w:marBottom w:val="0"/>
      <w:divBdr>
        <w:top w:val="none" w:sz="0" w:space="0" w:color="auto"/>
        <w:left w:val="none" w:sz="0" w:space="0" w:color="auto"/>
        <w:bottom w:val="none" w:sz="0" w:space="0" w:color="auto"/>
        <w:right w:val="none" w:sz="0" w:space="0" w:color="auto"/>
      </w:divBdr>
    </w:div>
    <w:div w:id="1875652152">
      <w:bodyDiv w:val="1"/>
      <w:marLeft w:val="0"/>
      <w:marRight w:val="0"/>
      <w:marTop w:val="0"/>
      <w:marBottom w:val="0"/>
      <w:divBdr>
        <w:top w:val="none" w:sz="0" w:space="0" w:color="auto"/>
        <w:left w:val="none" w:sz="0" w:space="0" w:color="auto"/>
        <w:bottom w:val="none" w:sz="0" w:space="0" w:color="auto"/>
        <w:right w:val="none" w:sz="0" w:space="0" w:color="auto"/>
      </w:divBdr>
    </w:div>
    <w:div w:id="1886288282">
      <w:bodyDiv w:val="1"/>
      <w:marLeft w:val="0"/>
      <w:marRight w:val="0"/>
      <w:marTop w:val="0"/>
      <w:marBottom w:val="0"/>
      <w:divBdr>
        <w:top w:val="none" w:sz="0" w:space="0" w:color="auto"/>
        <w:left w:val="none" w:sz="0" w:space="0" w:color="auto"/>
        <w:bottom w:val="none" w:sz="0" w:space="0" w:color="auto"/>
        <w:right w:val="none" w:sz="0" w:space="0" w:color="auto"/>
      </w:divBdr>
    </w:div>
    <w:div w:id="1947687629">
      <w:bodyDiv w:val="1"/>
      <w:marLeft w:val="0"/>
      <w:marRight w:val="0"/>
      <w:marTop w:val="0"/>
      <w:marBottom w:val="0"/>
      <w:divBdr>
        <w:top w:val="none" w:sz="0" w:space="0" w:color="auto"/>
        <w:left w:val="none" w:sz="0" w:space="0" w:color="auto"/>
        <w:bottom w:val="none" w:sz="0" w:space="0" w:color="auto"/>
        <w:right w:val="none" w:sz="0" w:space="0" w:color="auto"/>
      </w:divBdr>
    </w:div>
    <w:div w:id="1981885963">
      <w:bodyDiv w:val="1"/>
      <w:marLeft w:val="0"/>
      <w:marRight w:val="0"/>
      <w:marTop w:val="0"/>
      <w:marBottom w:val="0"/>
      <w:divBdr>
        <w:top w:val="none" w:sz="0" w:space="0" w:color="auto"/>
        <w:left w:val="none" w:sz="0" w:space="0" w:color="auto"/>
        <w:bottom w:val="none" w:sz="0" w:space="0" w:color="auto"/>
        <w:right w:val="none" w:sz="0" w:space="0" w:color="auto"/>
      </w:divBdr>
    </w:div>
    <w:div w:id="2040204845">
      <w:bodyDiv w:val="1"/>
      <w:marLeft w:val="0"/>
      <w:marRight w:val="0"/>
      <w:marTop w:val="0"/>
      <w:marBottom w:val="0"/>
      <w:divBdr>
        <w:top w:val="none" w:sz="0" w:space="0" w:color="auto"/>
        <w:left w:val="none" w:sz="0" w:space="0" w:color="auto"/>
        <w:bottom w:val="none" w:sz="0" w:space="0" w:color="auto"/>
        <w:right w:val="none" w:sz="0" w:space="0" w:color="auto"/>
      </w:divBdr>
    </w:div>
    <w:div w:id="2048526515">
      <w:bodyDiv w:val="1"/>
      <w:marLeft w:val="0"/>
      <w:marRight w:val="0"/>
      <w:marTop w:val="0"/>
      <w:marBottom w:val="0"/>
      <w:divBdr>
        <w:top w:val="none" w:sz="0" w:space="0" w:color="auto"/>
        <w:left w:val="none" w:sz="0" w:space="0" w:color="auto"/>
        <w:bottom w:val="none" w:sz="0" w:space="0" w:color="auto"/>
        <w:right w:val="none" w:sz="0" w:space="0" w:color="auto"/>
      </w:divBdr>
    </w:div>
    <w:div w:id="2099784243">
      <w:bodyDiv w:val="1"/>
      <w:marLeft w:val="0"/>
      <w:marRight w:val="0"/>
      <w:marTop w:val="0"/>
      <w:marBottom w:val="0"/>
      <w:divBdr>
        <w:top w:val="none" w:sz="0" w:space="0" w:color="auto"/>
        <w:left w:val="none" w:sz="0" w:space="0" w:color="auto"/>
        <w:bottom w:val="none" w:sz="0" w:space="0" w:color="auto"/>
        <w:right w:val="none" w:sz="0" w:space="0" w:color="auto"/>
      </w:divBdr>
      <w:divsChild>
        <w:div w:id="140267526">
          <w:marLeft w:val="0"/>
          <w:marRight w:val="0"/>
          <w:marTop w:val="0"/>
          <w:marBottom w:val="0"/>
          <w:divBdr>
            <w:top w:val="none" w:sz="0" w:space="0" w:color="auto"/>
            <w:left w:val="none" w:sz="0" w:space="0" w:color="auto"/>
            <w:bottom w:val="none" w:sz="0" w:space="0" w:color="auto"/>
            <w:right w:val="none" w:sz="0" w:space="0" w:color="auto"/>
          </w:divBdr>
        </w:div>
        <w:div w:id="152840003">
          <w:marLeft w:val="0"/>
          <w:marRight w:val="0"/>
          <w:marTop w:val="0"/>
          <w:marBottom w:val="0"/>
          <w:divBdr>
            <w:top w:val="none" w:sz="0" w:space="0" w:color="auto"/>
            <w:left w:val="none" w:sz="0" w:space="0" w:color="auto"/>
            <w:bottom w:val="none" w:sz="0" w:space="0" w:color="auto"/>
            <w:right w:val="none" w:sz="0" w:space="0" w:color="auto"/>
          </w:divBdr>
        </w:div>
        <w:div w:id="1435905267">
          <w:marLeft w:val="0"/>
          <w:marRight w:val="0"/>
          <w:marTop w:val="0"/>
          <w:marBottom w:val="0"/>
          <w:divBdr>
            <w:top w:val="none" w:sz="0" w:space="0" w:color="auto"/>
            <w:left w:val="none" w:sz="0" w:space="0" w:color="auto"/>
            <w:bottom w:val="none" w:sz="0" w:space="0" w:color="auto"/>
            <w:right w:val="none" w:sz="0" w:space="0" w:color="auto"/>
          </w:divBdr>
        </w:div>
        <w:div w:id="1826310663">
          <w:marLeft w:val="0"/>
          <w:marRight w:val="0"/>
          <w:marTop w:val="0"/>
          <w:marBottom w:val="0"/>
          <w:divBdr>
            <w:top w:val="none" w:sz="0" w:space="0" w:color="auto"/>
            <w:left w:val="none" w:sz="0" w:space="0" w:color="auto"/>
            <w:bottom w:val="none" w:sz="0" w:space="0" w:color="auto"/>
            <w:right w:val="none" w:sz="0" w:space="0" w:color="auto"/>
          </w:divBdr>
        </w:div>
      </w:divsChild>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 w:id="2113041793">
      <w:bodyDiv w:val="1"/>
      <w:marLeft w:val="0"/>
      <w:marRight w:val="0"/>
      <w:marTop w:val="0"/>
      <w:marBottom w:val="0"/>
      <w:divBdr>
        <w:top w:val="none" w:sz="0" w:space="0" w:color="auto"/>
        <w:left w:val="none" w:sz="0" w:space="0" w:color="auto"/>
        <w:bottom w:val="none" w:sz="0" w:space="0" w:color="auto"/>
        <w:right w:val="none" w:sz="0" w:space="0" w:color="auto"/>
      </w:divBdr>
    </w:div>
    <w:div w:id="2122408954">
      <w:bodyDiv w:val="1"/>
      <w:marLeft w:val="0"/>
      <w:marRight w:val="0"/>
      <w:marTop w:val="0"/>
      <w:marBottom w:val="0"/>
      <w:divBdr>
        <w:top w:val="none" w:sz="0" w:space="0" w:color="auto"/>
        <w:left w:val="none" w:sz="0" w:space="0" w:color="auto"/>
        <w:bottom w:val="none" w:sz="0" w:space="0" w:color="auto"/>
        <w:right w:val="none" w:sz="0" w:space="0" w:color="auto"/>
      </w:divBdr>
    </w:div>
    <w:div w:id="21261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v-ifp.be/publicat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boulangers.ipv-ifp.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v-ifp.be/outi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server\public\07%20R&amp;D\werkbank%20Lieve\voorbereiding%20jaarverslag\staafdiagram%20verdeling%20dn%20over%20rubriek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server\public\07%20R&amp;D\werkbank%20Lieve\voorbereiding%20jaarverslag\staafdiagram%20verdeling%20dn%20over%20rubriek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server\public\07%20R&amp;D\werkbank%20Lieve\voorbereiding%20jaarverslag\staafdiagram%20verdeling%20dn%20over%20rubriek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BE"/>
  <c:chart>
    <c:plotArea>
      <c:layout/>
      <c:barChart>
        <c:barDir val="bar"/>
        <c:grouping val="percentStacked"/>
        <c:ser>
          <c:idx val="0"/>
          <c:order val="0"/>
          <c:tx>
            <c:strRef>
              <c:f>Sheet1!$B$1</c:f>
              <c:strCache>
                <c:ptCount val="1"/>
                <c:pt idx="0">
                  <c:v>Admin</c:v>
                </c:pt>
              </c:strCache>
            </c:strRef>
          </c:tx>
          <c:cat>
            <c:strRef>
              <c:f>Sheet1!$A$2:$A$5</c:f>
              <c:strCache>
                <c:ptCount val="4"/>
                <c:pt idx="0">
                  <c:v>100 wn en +</c:v>
                </c:pt>
                <c:pt idx="1">
                  <c:v>50-99 wn</c:v>
                </c:pt>
                <c:pt idx="2">
                  <c:v>10-49 wn</c:v>
                </c:pt>
                <c:pt idx="3">
                  <c:v>&lt;10 wn</c:v>
                </c:pt>
              </c:strCache>
            </c:strRef>
          </c:cat>
          <c:val>
            <c:numRef>
              <c:f>Sheet1!$B$2:$B$5</c:f>
              <c:numCache>
                <c:formatCode>General</c:formatCode>
                <c:ptCount val="4"/>
                <c:pt idx="0">
                  <c:v>1.8</c:v>
                </c:pt>
                <c:pt idx="1">
                  <c:v>1.7000000000000042</c:v>
                </c:pt>
                <c:pt idx="2">
                  <c:v>0.8</c:v>
                </c:pt>
                <c:pt idx="3">
                  <c:v>0.30000000000000032</c:v>
                </c:pt>
              </c:numCache>
            </c:numRef>
          </c:val>
        </c:ser>
        <c:ser>
          <c:idx val="1"/>
          <c:order val="1"/>
          <c:tx>
            <c:strRef>
              <c:f>Sheet1!$C$1</c:f>
              <c:strCache>
                <c:ptCount val="1"/>
                <c:pt idx="0">
                  <c:v>Communicatie</c:v>
                </c:pt>
              </c:strCache>
            </c:strRef>
          </c:tx>
          <c:dLbls>
            <c:dLbl>
              <c:idx val="0"/>
              <c:layout/>
              <c:showVal val="1"/>
            </c:dLbl>
            <c:dLbl>
              <c:idx val="1"/>
              <c:layout/>
              <c:showVal val="1"/>
            </c:dLbl>
            <c:delete val="1"/>
          </c:dLbls>
          <c:cat>
            <c:strRef>
              <c:f>Sheet1!$A$2:$A$5</c:f>
              <c:strCache>
                <c:ptCount val="4"/>
                <c:pt idx="0">
                  <c:v>100 wn en +</c:v>
                </c:pt>
                <c:pt idx="1">
                  <c:v>50-99 wn</c:v>
                </c:pt>
                <c:pt idx="2">
                  <c:v>10-49 wn</c:v>
                </c:pt>
                <c:pt idx="3">
                  <c:v>&lt;10 wn</c:v>
                </c:pt>
              </c:strCache>
            </c:strRef>
          </c:cat>
          <c:val>
            <c:numRef>
              <c:f>Sheet1!$C$2:$C$5</c:f>
              <c:numCache>
                <c:formatCode>General</c:formatCode>
                <c:ptCount val="4"/>
                <c:pt idx="0">
                  <c:v>12.8</c:v>
                </c:pt>
                <c:pt idx="1">
                  <c:v>6.9</c:v>
                </c:pt>
                <c:pt idx="2">
                  <c:v>2.2000000000000002</c:v>
                </c:pt>
                <c:pt idx="3">
                  <c:v>1.7000000000000042</c:v>
                </c:pt>
              </c:numCache>
            </c:numRef>
          </c:val>
        </c:ser>
        <c:ser>
          <c:idx val="2"/>
          <c:order val="2"/>
          <c:tx>
            <c:strRef>
              <c:f>Sheet1!$D$1</c:f>
              <c:strCache>
                <c:ptCount val="1"/>
                <c:pt idx="0">
                  <c:v>Informatica</c:v>
                </c:pt>
              </c:strCache>
            </c:strRef>
          </c:tx>
          <c:dLbls>
            <c:dLbl>
              <c:idx val="3"/>
              <c:delete val="1"/>
            </c:dLbl>
            <c:showVal val="1"/>
          </c:dLbls>
          <c:cat>
            <c:strRef>
              <c:f>Sheet1!$A$2:$A$5</c:f>
              <c:strCache>
                <c:ptCount val="4"/>
                <c:pt idx="0">
                  <c:v>100 wn en +</c:v>
                </c:pt>
                <c:pt idx="1">
                  <c:v>50-99 wn</c:v>
                </c:pt>
                <c:pt idx="2">
                  <c:v>10-49 wn</c:v>
                </c:pt>
                <c:pt idx="3">
                  <c:v>&lt;10 wn</c:v>
                </c:pt>
              </c:strCache>
            </c:strRef>
          </c:cat>
          <c:val>
            <c:numRef>
              <c:f>Sheet1!$D$2:$D$5</c:f>
              <c:numCache>
                <c:formatCode>General</c:formatCode>
                <c:ptCount val="4"/>
                <c:pt idx="0">
                  <c:v>8.9</c:v>
                </c:pt>
                <c:pt idx="1">
                  <c:v>4.0999999999999996</c:v>
                </c:pt>
                <c:pt idx="2">
                  <c:v>4.5</c:v>
                </c:pt>
                <c:pt idx="3">
                  <c:v>1.3</c:v>
                </c:pt>
              </c:numCache>
            </c:numRef>
          </c:val>
        </c:ser>
        <c:ser>
          <c:idx val="3"/>
          <c:order val="3"/>
          <c:tx>
            <c:strRef>
              <c:f>Sheet1!$E$1</c:f>
              <c:strCache>
                <c:ptCount val="1"/>
                <c:pt idx="0">
                  <c:v>Logistiek</c:v>
                </c:pt>
              </c:strCache>
            </c:strRef>
          </c:tx>
          <c:dLbls>
            <c:showVal val="1"/>
          </c:dLbls>
          <c:cat>
            <c:strRef>
              <c:f>Sheet1!$A$2:$A$5</c:f>
              <c:strCache>
                <c:ptCount val="4"/>
                <c:pt idx="0">
                  <c:v>100 wn en +</c:v>
                </c:pt>
                <c:pt idx="1">
                  <c:v>50-99 wn</c:v>
                </c:pt>
                <c:pt idx="2">
                  <c:v>10-49 wn</c:v>
                </c:pt>
                <c:pt idx="3">
                  <c:v>&lt;10 wn</c:v>
                </c:pt>
              </c:strCache>
            </c:strRef>
          </c:cat>
          <c:val>
            <c:numRef>
              <c:f>Sheet1!$E$2:$E$5</c:f>
              <c:numCache>
                <c:formatCode>General</c:formatCode>
                <c:ptCount val="4"/>
                <c:pt idx="0">
                  <c:v>11.4</c:v>
                </c:pt>
                <c:pt idx="1">
                  <c:v>9.9</c:v>
                </c:pt>
                <c:pt idx="2">
                  <c:v>10.3</c:v>
                </c:pt>
                <c:pt idx="3">
                  <c:v>4.4000000000000004</c:v>
                </c:pt>
              </c:numCache>
            </c:numRef>
          </c:val>
        </c:ser>
        <c:ser>
          <c:idx val="4"/>
          <c:order val="4"/>
          <c:tx>
            <c:strRef>
              <c:f>Sheet1!$F$1</c:f>
              <c:strCache>
                <c:ptCount val="1"/>
                <c:pt idx="0">
                  <c:v>Sectorspecifiek</c:v>
                </c:pt>
              </c:strCache>
            </c:strRef>
          </c:tx>
          <c:dLbls>
            <c:showVal val="1"/>
          </c:dLbls>
          <c:cat>
            <c:strRef>
              <c:f>Sheet1!$A$2:$A$5</c:f>
              <c:strCache>
                <c:ptCount val="4"/>
                <c:pt idx="0">
                  <c:v>100 wn en +</c:v>
                </c:pt>
                <c:pt idx="1">
                  <c:v>50-99 wn</c:v>
                </c:pt>
                <c:pt idx="2">
                  <c:v>10-49 wn</c:v>
                </c:pt>
                <c:pt idx="3">
                  <c:v>&lt;10 wn</c:v>
                </c:pt>
              </c:strCache>
            </c:strRef>
          </c:cat>
          <c:val>
            <c:numRef>
              <c:f>Sheet1!$F$2:$F$5</c:f>
              <c:numCache>
                <c:formatCode>General</c:formatCode>
                <c:ptCount val="4"/>
                <c:pt idx="0">
                  <c:v>27.3</c:v>
                </c:pt>
                <c:pt idx="1">
                  <c:v>56.7</c:v>
                </c:pt>
                <c:pt idx="2">
                  <c:v>66.5</c:v>
                </c:pt>
                <c:pt idx="3">
                  <c:v>85</c:v>
                </c:pt>
              </c:numCache>
            </c:numRef>
          </c:val>
        </c:ser>
        <c:ser>
          <c:idx val="5"/>
          <c:order val="5"/>
          <c:tx>
            <c:strRef>
              <c:f>Sheet1!$G$1</c:f>
              <c:strCache>
                <c:ptCount val="1"/>
                <c:pt idx="0">
                  <c:v>Talen</c:v>
                </c:pt>
              </c:strCache>
            </c:strRef>
          </c:tx>
          <c:dLbls>
            <c:dLbl>
              <c:idx val="3"/>
              <c:delete val="1"/>
            </c:dLbl>
            <c:showVal val="1"/>
          </c:dLbls>
          <c:cat>
            <c:strRef>
              <c:f>Sheet1!$A$2:$A$5</c:f>
              <c:strCache>
                <c:ptCount val="4"/>
                <c:pt idx="0">
                  <c:v>100 wn en +</c:v>
                </c:pt>
                <c:pt idx="1">
                  <c:v>50-99 wn</c:v>
                </c:pt>
                <c:pt idx="2">
                  <c:v>10-49 wn</c:v>
                </c:pt>
                <c:pt idx="3">
                  <c:v>&lt;10 wn</c:v>
                </c:pt>
              </c:strCache>
            </c:strRef>
          </c:cat>
          <c:val>
            <c:numRef>
              <c:f>Sheet1!$G$2:$G$5</c:f>
              <c:numCache>
                <c:formatCode>General</c:formatCode>
                <c:ptCount val="4"/>
                <c:pt idx="0">
                  <c:v>11.4</c:v>
                </c:pt>
                <c:pt idx="1">
                  <c:v>8.7000000000000011</c:v>
                </c:pt>
                <c:pt idx="2">
                  <c:v>2.6</c:v>
                </c:pt>
                <c:pt idx="3">
                  <c:v>2.5</c:v>
                </c:pt>
              </c:numCache>
            </c:numRef>
          </c:val>
        </c:ser>
        <c:ser>
          <c:idx val="6"/>
          <c:order val="6"/>
          <c:tx>
            <c:strRef>
              <c:f>Sheet1!$H$1</c:f>
              <c:strCache>
                <c:ptCount val="1"/>
                <c:pt idx="0">
                  <c:v>Techniek</c:v>
                </c:pt>
              </c:strCache>
            </c:strRef>
          </c:tx>
          <c:dLbls>
            <c:dLbl>
              <c:idx val="0"/>
              <c:layout/>
              <c:showVal val="1"/>
            </c:dLbl>
            <c:delete val="1"/>
          </c:dLbls>
          <c:cat>
            <c:strRef>
              <c:f>Sheet1!$A$2:$A$5</c:f>
              <c:strCache>
                <c:ptCount val="4"/>
                <c:pt idx="0">
                  <c:v>100 wn en +</c:v>
                </c:pt>
                <c:pt idx="1">
                  <c:v>50-99 wn</c:v>
                </c:pt>
                <c:pt idx="2">
                  <c:v>10-49 wn</c:v>
                </c:pt>
                <c:pt idx="3">
                  <c:v>&lt;10 wn</c:v>
                </c:pt>
              </c:strCache>
            </c:strRef>
          </c:cat>
          <c:val>
            <c:numRef>
              <c:f>Sheet1!$H$2:$H$5</c:f>
              <c:numCache>
                <c:formatCode>General</c:formatCode>
                <c:ptCount val="4"/>
                <c:pt idx="0">
                  <c:v>7.1</c:v>
                </c:pt>
                <c:pt idx="1">
                  <c:v>2</c:v>
                </c:pt>
                <c:pt idx="2">
                  <c:v>2.4</c:v>
                </c:pt>
                <c:pt idx="3">
                  <c:v>3.2</c:v>
                </c:pt>
              </c:numCache>
            </c:numRef>
          </c:val>
        </c:ser>
        <c:ser>
          <c:idx val="7"/>
          <c:order val="7"/>
          <c:tx>
            <c:strRef>
              <c:f>Sheet1!$I$1</c:f>
              <c:strCache>
                <c:ptCount val="1"/>
                <c:pt idx="0">
                  <c:v>Veiligheid en Milieu</c:v>
                </c:pt>
              </c:strCache>
            </c:strRef>
          </c:tx>
          <c:dLbls>
            <c:dLbl>
              <c:idx val="3"/>
              <c:delete val="1"/>
            </c:dLbl>
            <c:showVal val="1"/>
          </c:dLbls>
          <c:cat>
            <c:strRef>
              <c:f>Sheet1!$A$2:$A$5</c:f>
              <c:strCache>
                <c:ptCount val="4"/>
                <c:pt idx="0">
                  <c:v>100 wn en +</c:v>
                </c:pt>
                <c:pt idx="1">
                  <c:v>50-99 wn</c:v>
                </c:pt>
                <c:pt idx="2">
                  <c:v>10-49 wn</c:v>
                </c:pt>
                <c:pt idx="3">
                  <c:v>&lt;10 wn</c:v>
                </c:pt>
              </c:strCache>
            </c:strRef>
          </c:cat>
          <c:val>
            <c:numRef>
              <c:f>Sheet1!$I$2:$I$5</c:f>
              <c:numCache>
                <c:formatCode>General</c:formatCode>
                <c:ptCount val="4"/>
                <c:pt idx="0">
                  <c:v>19.3</c:v>
                </c:pt>
                <c:pt idx="1">
                  <c:v>10.1</c:v>
                </c:pt>
                <c:pt idx="2">
                  <c:v>10.8</c:v>
                </c:pt>
                <c:pt idx="3">
                  <c:v>1.6</c:v>
                </c:pt>
              </c:numCache>
            </c:numRef>
          </c:val>
        </c:ser>
        <c:overlap val="100"/>
        <c:axId val="86941696"/>
        <c:axId val="86943232"/>
      </c:barChart>
      <c:catAx>
        <c:axId val="86941696"/>
        <c:scaling>
          <c:orientation val="minMax"/>
        </c:scaling>
        <c:axPos val="l"/>
        <c:tickLblPos val="nextTo"/>
        <c:crossAx val="86943232"/>
        <c:crosses val="autoZero"/>
        <c:auto val="1"/>
        <c:lblAlgn val="ctr"/>
        <c:lblOffset val="100"/>
      </c:catAx>
      <c:valAx>
        <c:axId val="86943232"/>
        <c:scaling>
          <c:orientation val="minMax"/>
        </c:scaling>
        <c:axPos val="b"/>
        <c:majorGridlines/>
        <c:numFmt formatCode="0%" sourceLinked="1"/>
        <c:tickLblPos val="nextTo"/>
        <c:crossAx val="86941696"/>
        <c:crosses val="autoZero"/>
        <c:crossBetween val="between"/>
      </c:valAx>
    </c:plotArea>
    <c:legend>
      <c:legendPos val="b"/>
      <c:layout>
        <c:manualLayout>
          <c:xMode val="edge"/>
          <c:yMode val="edge"/>
          <c:x val="4.7343138711434703E-3"/>
          <c:y val="0.72801509186351765"/>
          <c:w val="0.99262780831641362"/>
          <c:h val="0.24420713035870625"/>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BE"/>
  <c:chart>
    <c:autoTitleDeleted val="1"/>
    <c:plotArea>
      <c:layout/>
      <c:barChart>
        <c:barDir val="bar"/>
        <c:grouping val="percentStacked"/>
        <c:ser>
          <c:idx val="0"/>
          <c:order val="0"/>
          <c:tx>
            <c:strRef>
              <c:f>VL!$B$1</c:f>
              <c:strCache>
                <c:ptCount val="1"/>
                <c:pt idx="0">
                  <c:v>Admin</c:v>
                </c:pt>
              </c:strCache>
            </c:strRef>
          </c:tx>
          <c:cat>
            <c:strRef>
              <c:f>VL!$A$2:$A$5</c:f>
              <c:strCache>
                <c:ptCount val="4"/>
                <c:pt idx="0">
                  <c:v>100 wn en +</c:v>
                </c:pt>
                <c:pt idx="1">
                  <c:v>50-99 wn</c:v>
                </c:pt>
                <c:pt idx="2">
                  <c:v>10-49 wn</c:v>
                </c:pt>
                <c:pt idx="3">
                  <c:v>&lt;10 wn</c:v>
                </c:pt>
              </c:strCache>
            </c:strRef>
          </c:cat>
          <c:val>
            <c:numRef>
              <c:f>VL!$B$2:$B$5</c:f>
              <c:numCache>
                <c:formatCode>General</c:formatCode>
                <c:ptCount val="4"/>
                <c:pt idx="0">
                  <c:v>2.1</c:v>
                </c:pt>
                <c:pt idx="1">
                  <c:v>1</c:v>
                </c:pt>
                <c:pt idx="2">
                  <c:v>0.9</c:v>
                </c:pt>
                <c:pt idx="3">
                  <c:v>0.30000000000000032</c:v>
                </c:pt>
              </c:numCache>
            </c:numRef>
          </c:val>
        </c:ser>
        <c:ser>
          <c:idx val="1"/>
          <c:order val="1"/>
          <c:tx>
            <c:strRef>
              <c:f>VL!$C$1</c:f>
              <c:strCache>
                <c:ptCount val="1"/>
                <c:pt idx="0">
                  <c:v>Communicatie</c:v>
                </c:pt>
              </c:strCache>
            </c:strRef>
          </c:tx>
          <c:dLbls>
            <c:dLbl>
              <c:idx val="3"/>
              <c:delete val="1"/>
            </c:dLbl>
            <c:showVal val="1"/>
          </c:dLbls>
          <c:cat>
            <c:strRef>
              <c:f>VL!$A$2:$A$5</c:f>
              <c:strCache>
                <c:ptCount val="4"/>
                <c:pt idx="0">
                  <c:v>100 wn en +</c:v>
                </c:pt>
                <c:pt idx="1">
                  <c:v>50-99 wn</c:v>
                </c:pt>
                <c:pt idx="2">
                  <c:v>10-49 wn</c:v>
                </c:pt>
                <c:pt idx="3">
                  <c:v>&lt;10 wn</c:v>
                </c:pt>
              </c:strCache>
            </c:strRef>
          </c:cat>
          <c:val>
            <c:numRef>
              <c:f>VL!$C$2:$C$5</c:f>
              <c:numCache>
                <c:formatCode>General</c:formatCode>
                <c:ptCount val="4"/>
                <c:pt idx="0">
                  <c:v>14.2</c:v>
                </c:pt>
                <c:pt idx="1">
                  <c:v>7.7</c:v>
                </c:pt>
                <c:pt idx="2">
                  <c:v>2.2999999999999998</c:v>
                </c:pt>
                <c:pt idx="3">
                  <c:v>2.1</c:v>
                </c:pt>
              </c:numCache>
            </c:numRef>
          </c:val>
        </c:ser>
        <c:ser>
          <c:idx val="2"/>
          <c:order val="2"/>
          <c:tx>
            <c:strRef>
              <c:f>VL!$D$1</c:f>
              <c:strCache>
                <c:ptCount val="1"/>
                <c:pt idx="0">
                  <c:v>Informatica</c:v>
                </c:pt>
              </c:strCache>
            </c:strRef>
          </c:tx>
          <c:dLbls>
            <c:dLbl>
              <c:idx val="3"/>
              <c:delete val="1"/>
            </c:dLbl>
            <c:showVal val="1"/>
          </c:dLbls>
          <c:cat>
            <c:strRef>
              <c:f>VL!$A$2:$A$5</c:f>
              <c:strCache>
                <c:ptCount val="4"/>
                <c:pt idx="0">
                  <c:v>100 wn en +</c:v>
                </c:pt>
                <c:pt idx="1">
                  <c:v>50-99 wn</c:v>
                </c:pt>
                <c:pt idx="2">
                  <c:v>10-49 wn</c:v>
                </c:pt>
                <c:pt idx="3">
                  <c:v>&lt;10 wn</c:v>
                </c:pt>
              </c:strCache>
            </c:strRef>
          </c:cat>
          <c:val>
            <c:numRef>
              <c:f>VL!$D$2:$D$5</c:f>
              <c:numCache>
                <c:formatCode>General</c:formatCode>
                <c:ptCount val="4"/>
                <c:pt idx="0">
                  <c:v>9.8000000000000007</c:v>
                </c:pt>
                <c:pt idx="1">
                  <c:v>3.6</c:v>
                </c:pt>
                <c:pt idx="2">
                  <c:v>5.4</c:v>
                </c:pt>
                <c:pt idx="3">
                  <c:v>1.4</c:v>
                </c:pt>
              </c:numCache>
            </c:numRef>
          </c:val>
        </c:ser>
        <c:ser>
          <c:idx val="3"/>
          <c:order val="3"/>
          <c:tx>
            <c:strRef>
              <c:f>VL!$E$1</c:f>
              <c:strCache>
                <c:ptCount val="1"/>
                <c:pt idx="0">
                  <c:v>Logistiek</c:v>
                </c:pt>
              </c:strCache>
            </c:strRef>
          </c:tx>
          <c:dLbls>
            <c:showVal val="1"/>
          </c:dLbls>
          <c:cat>
            <c:strRef>
              <c:f>VL!$A$2:$A$5</c:f>
              <c:strCache>
                <c:ptCount val="4"/>
                <c:pt idx="0">
                  <c:v>100 wn en +</c:v>
                </c:pt>
                <c:pt idx="1">
                  <c:v>50-99 wn</c:v>
                </c:pt>
                <c:pt idx="2">
                  <c:v>10-49 wn</c:v>
                </c:pt>
                <c:pt idx="3">
                  <c:v>&lt;10 wn</c:v>
                </c:pt>
              </c:strCache>
            </c:strRef>
          </c:cat>
          <c:val>
            <c:numRef>
              <c:f>VL!$E$2:$E$5</c:f>
              <c:numCache>
                <c:formatCode>General</c:formatCode>
                <c:ptCount val="4"/>
                <c:pt idx="0">
                  <c:v>12.5</c:v>
                </c:pt>
                <c:pt idx="1">
                  <c:v>9.7000000000000011</c:v>
                </c:pt>
                <c:pt idx="2">
                  <c:v>9.5</c:v>
                </c:pt>
                <c:pt idx="3">
                  <c:v>3.8</c:v>
                </c:pt>
              </c:numCache>
            </c:numRef>
          </c:val>
        </c:ser>
        <c:ser>
          <c:idx val="4"/>
          <c:order val="4"/>
          <c:tx>
            <c:strRef>
              <c:f>VL!$F$1</c:f>
              <c:strCache>
                <c:ptCount val="1"/>
                <c:pt idx="0">
                  <c:v>Sectorspecifiek</c:v>
                </c:pt>
              </c:strCache>
            </c:strRef>
          </c:tx>
          <c:dLbls>
            <c:showVal val="1"/>
          </c:dLbls>
          <c:cat>
            <c:strRef>
              <c:f>VL!$A$2:$A$5</c:f>
              <c:strCache>
                <c:ptCount val="4"/>
                <c:pt idx="0">
                  <c:v>100 wn en +</c:v>
                </c:pt>
                <c:pt idx="1">
                  <c:v>50-99 wn</c:v>
                </c:pt>
                <c:pt idx="2">
                  <c:v>10-49 wn</c:v>
                </c:pt>
                <c:pt idx="3">
                  <c:v>&lt;10 wn</c:v>
                </c:pt>
              </c:strCache>
            </c:strRef>
          </c:cat>
          <c:val>
            <c:numRef>
              <c:f>VL!$F$2:$F$5</c:f>
              <c:numCache>
                <c:formatCode>General</c:formatCode>
                <c:ptCount val="4"/>
                <c:pt idx="0">
                  <c:v>25.5</c:v>
                </c:pt>
                <c:pt idx="1">
                  <c:v>60.3</c:v>
                </c:pt>
                <c:pt idx="2">
                  <c:v>70.3</c:v>
                </c:pt>
                <c:pt idx="3">
                  <c:v>86.7</c:v>
                </c:pt>
              </c:numCache>
            </c:numRef>
          </c:val>
        </c:ser>
        <c:ser>
          <c:idx val="5"/>
          <c:order val="5"/>
          <c:tx>
            <c:strRef>
              <c:f>VL!$G$1</c:f>
              <c:strCache>
                <c:ptCount val="1"/>
                <c:pt idx="0">
                  <c:v>Talen</c:v>
                </c:pt>
              </c:strCache>
            </c:strRef>
          </c:tx>
          <c:dLbls>
            <c:dLbl>
              <c:idx val="0"/>
              <c:showVal val="1"/>
            </c:dLbl>
            <c:dLbl>
              <c:idx val="1"/>
              <c:showVal val="1"/>
            </c:dLbl>
            <c:delete val="1"/>
          </c:dLbls>
          <c:cat>
            <c:strRef>
              <c:f>VL!$A$2:$A$5</c:f>
              <c:strCache>
                <c:ptCount val="4"/>
                <c:pt idx="0">
                  <c:v>100 wn en +</c:v>
                </c:pt>
                <c:pt idx="1">
                  <c:v>50-99 wn</c:v>
                </c:pt>
                <c:pt idx="2">
                  <c:v>10-49 wn</c:v>
                </c:pt>
                <c:pt idx="3">
                  <c:v>&lt;10 wn</c:v>
                </c:pt>
              </c:strCache>
            </c:strRef>
          </c:cat>
          <c:val>
            <c:numRef>
              <c:f>VL!$G$2:$G$5</c:f>
              <c:numCache>
                <c:formatCode>General</c:formatCode>
                <c:ptCount val="4"/>
                <c:pt idx="0">
                  <c:v>10</c:v>
                </c:pt>
                <c:pt idx="1">
                  <c:v>6.3</c:v>
                </c:pt>
                <c:pt idx="2">
                  <c:v>1.1000000000000001</c:v>
                </c:pt>
                <c:pt idx="3">
                  <c:v>3</c:v>
                </c:pt>
              </c:numCache>
            </c:numRef>
          </c:val>
        </c:ser>
        <c:ser>
          <c:idx val="6"/>
          <c:order val="6"/>
          <c:tx>
            <c:strRef>
              <c:f>VL!$H$1</c:f>
              <c:strCache>
                <c:ptCount val="1"/>
                <c:pt idx="0">
                  <c:v>Techniek</c:v>
                </c:pt>
              </c:strCache>
            </c:strRef>
          </c:tx>
          <c:dLbls>
            <c:dLbl>
              <c:idx val="0"/>
              <c:showVal val="1"/>
            </c:dLbl>
            <c:delete val="1"/>
          </c:dLbls>
          <c:cat>
            <c:strRef>
              <c:f>VL!$A$2:$A$5</c:f>
              <c:strCache>
                <c:ptCount val="4"/>
                <c:pt idx="0">
                  <c:v>100 wn en +</c:v>
                </c:pt>
                <c:pt idx="1">
                  <c:v>50-99 wn</c:v>
                </c:pt>
                <c:pt idx="2">
                  <c:v>10-49 wn</c:v>
                </c:pt>
                <c:pt idx="3">
                  <c:v>&lt;10 wn</c:v>
                </c:pt>
              </c:strCache>
            </c:strRef>
          </c:cat>
          <c:val>
            <c:numRef>
              <c:f>VL!$H$2:$H$5</c:f>
              <c:numCache>
                <c:formatCode>General</c:formatCode>
                <c:ptCount val="4"/>
                <c:pt idx="0">
                  <c:v>7.2</c:v>
                </c:pt>
                <c:pt idx="1">
                  <c:v>2.1</c:v>
                </c:pt>
                <c:pt idx="2">
                  <c:v>2.2000000000000002</c:v>
                </c:pt>
                <c:pt idx="3">
                  <c:v>0.70000000000000062</c:v>
                </c:pt>
              </c:numCache>
            </c:numRef>
          </c:val>
        </c:ser>
        <c:ser>
          <c:idx val="7"/>
          <c:order val="7"/>
          <c:tx>
            <c:strRef>
              <c:f>VL!$I$1</c:f>
              <c:strCache>
                <c:ptCount val="1"/>
                <c:pt idx="0">
                  <c:v>Veiligheid en Milieu</c:v>
                </c:pt>
              </c:strCache>
            </c:strRef>
          </c:tx>
          <c:dLbls>
            <c:dLbl>
              <c:idx val="0"/>
              <c:showVal val="1"/>
            </c:dLbl>
            <c:dLbl>
              <c:idx val="1"/>
              <c:showVal val="1"/>
            </c:dLbl>
            <c:dLbl>
              <c:idx val="2"/>
              <c:showVal val="1"/>
            </c:dLbl>
            <c:delete val="1"/>
          </c:dLbls>
          <c:cat>
            <c:strRef>
              <c:f>VL!$A$2:$A$5</c:f>
              <c:strCache>
                <c:ptCount val="4"/>
                <c:pt idx="0">
                  <c:v>100 wn en +</c:v>
                </c:pt>
                <c:pt idx="1">
                  <c:v>50-99 wn</c:v>
                </c:pt>
                <c:pt idx="2">
                  <c:v>10-49 wn</c:v>
                </c:pt>
                <c:pt idx="3">
                  <c:v>&lt;10 wn</c:v>
                </c:pt>
              </c:strCache>
            </c:strRef>
          </c:cat>
          <c:val>
            <c:numRef>
              <c:f>VL!$I$2:$I$5</c:f>
              <c:numCache>
                <c:formatCode>General</c:formatCode>
                <c:ptCount val="4"/>
                <c:pt idx="0">
                  <c:v>18.600000000000001</c:v>
                </c:pt>
                <c:pt idx="1">
                  <c:v>9.2000000000000011</c:v>
                </c:pt>
                <c:pt idx="2">
                  <c:v>8.3000000000000007</c:v>
                </c:pt>
                <c:pt idx="3">
                  <c:v>1.9000000000000001</c:v>
                </c:pt>
              </c:numCache>
            </c:numRef>
          </c:val>
        </c:ser>
        <c:overlap val="100"/>
        <c:axId val="87671936"/>
        <c:axId val="87673472"/>
      </c:barChart>
      <c:catAx>
        <c:axId val="87671936"/>
        <c:scaling>
          <c:orientation val="minMax"/>
        </c:scaling>
        <c:axPos val="l"/>
        <c:tickLblPos val="nextTo"/>
        <c:crossAx val="87673472"/>
        <c:crosses val="autoZero"/>
        <c:auto val="1"/>
        <c:lblAlgn val="ctr"/>
        <c:lblOffset val="100"/>
      </c:catAx>
      <c:valAx>
        <c:axId val="87673472"/>
        <c:scaling>
          <c:orientation val="minMax"/>
        </c:scaling>
        <c:axPos val="b"/>
        <c:majorGridlines/>
        <c:title>
          <c:tx>
            <c:rich>
              <a:bodyPr/>
              <a:lstStyle/>
              <a:p>
                <a:pPr>
                  <a:defRPr/>
                </a:pPr>
                <a:r>
                  <a:rPr lang="en-US"/>
                  <a:t>verdeling</a:t>
                </a:r>
                <a:r>
                  <a:rPr lang="en-US" baseline="0"/>
                  <a:t> van de deelnemers</a:t>
                </a:r>
                <a:endParaRPr lang="en-US"/>
              </a:p>
            </c:rich>
          </c:tx>
        </c:title>
        <c:numFmt formatCode="0%" sourceLinked="1"/>
        <c:tickLblPos val="nextTo"/>
        <c:crossAx val="87671936"/>
        <c:crosses val="autoZero"/>
        <c:crossBetween val="between"/>
      </c:valAx>
    </c:plotArea>
    <c:legend>
      <c:legendPos val="b"/>
      <c:layout>
        <c:manualLayout>
          <c:xMode val="edge"/>
          <c:yMode val="edge"/>
          <c:x val="4.7343138711434703E-3"/>
          <c:y val="0.83306545772687957"/>
          <c:w val="0.76662077617656976"/>
          <c:h val="0.14006394655213725"/>
        </c:manualLayout>
      </c:layout>
      <c:spPr>
        <a:ln>
          <a:solidFill>
            <a:schemeClr val="tx1"/>
          </a:solidFill>
        </a:ln>
      </c:sp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BE"/>
  <c:chart>
    <c:autoTitleDeleted val="1"/>
    <c:plotArea>
      <c:layout/>
      <c:barChart>
        <c:barDir val="bar"/>
        <c:grouping val="percentStacked"/>
        <c:ser>
          <c:idx val="0"/>
          <c:order val="0"/>
          <c:tx>
            <c:strRef>
              <c:f>Wallonië!$B$1</c:f>
              <c:strCache>
                <c:ptCount val="1"/>
                <c:pt idx="0">
                  <c:v>Admin</c:v>
                </c:pt>
              </c:strCache>
            </c:strRef>
          </c:tx>
          <c:cat>
            <c:strRef>
              <c:f>Wallonië!$A$2:$A$5</c:f>
              <c:strCache>
                <c:ptCount val="4"/>
                <c:pt idx="0">
                  <c:v>100 wn en +</c:v>
                </c:pt>
                <c:pt idx="1">
                  <c:v>50-99 wn</c:v>
                </c:pt>
                <c:pt idx="2">
                  <c:v>10-49 wn</c:v>
                </c:pt>
                <c:pt idx="3">
                  <c:v>&lt;10 wn</c:v>
                </c:pt>
              </c:strCache>
            </c:strRef>
          </c:cat>
          <c:val>
            <c:numRef>
              <c:f>Wallonië!$B$2:$B$5</c:f>
              <c:numCache>
                <c:formatCode>General</c:formatCode>
                <c:ptCount val="4"/>
                <c:pt idx="0">
                  <c:v>0.2</c:v>
                </c:pt>
                <c:pt idx="1">
                  <c:v>1.9000000000000001</c:v>
                </c:pt>
                <c:pt idx="2">
                  <c:v>0.4</c:v>
                </c:pt>
                <c:pt idx="3">
                  <c:v>0</c:v>
                </c:pt>
              </c:numCache>
            </c:numRef>
          </c:val>
        </c:ser>
        <c:ser>
          <c:idx val="1"/>
          <c:order val="1"/>
          <c:tx>
            <c:strRef>
              <c:f>Wallonië!$C$1</c:f>
              <c:strCache>
                <c:ptCount val="1"/>
                <c:pt idx="0">
                  <c:v>Communicatie</c:v>
                </c:pt>
              </c:strCache>
            </c:strRef>
          </c:tx>
          <c:dLbls>
            <c:dLbl>
              <c:idx val="0"/>
              <c:showVal val="1"/>
            </c:dLbl>
            <c:dLbl>
              <c:idx val="1"/>
              <c:showVal val="1"/>
            </c:dLbl>
            <c:delete val="1"/>
          </c:dLbls>
          <c:cat>
            <c:strRef>
              <c:f>Wallonië!$A$2:$A$5</c:f>
              <c:strCache>
                <c:ptCount val="4"/>
                <c:pt idx="0">
                  <c:v>100 wn en +</c:v>
                </c:pt>
                <c:pt idx="1">
                  <c:v>50-99 wn</c:v>
                </c:pt>
                <c:pt idx="2">
                  <c:v>10-49 wn</c:v>
                </c:pt>
                <c:pt idx="3">
                  <c:v>&lt;10 wn</c:v>
                </c:pt>
              </c:strCache>
            </c:strRef>
          </c:cat>
          <c:val>
            <c:numRef>
              <c:f>Wallonië!$C$2:$C$5</c:f>
              <c:numCache>
                <c:formatCode>General</c:formatCode>
                <c:ptCount val="4"/>
                <c:pt idx="0">
                  <c:v>6.2</c:v>
                </c:pt>
                <c:pt idx="1">
                  <c:v>4.5999999999999996</c:v>
                </c:pt>
                <c:pt idx="2">
                  <c:v>1.7</c:v>
                </c:pt>
                <c:pt idx="3">
                  <c:v>0</c:v>
                </c:pt>
              </c:numCache>
            </c:numRef>
          </c:val>
        </c:ser>
        <c:ser>
          <c:idx val="2"/>
          <c:order val="2"/>
          <c:tx>
            <c:strRef>
              <c:f>Wallonië!$D$1</c:f>
              <c:strCache>
                <c:ptCount val="1"/>
                <c:pt idx="0">
                  <c:v>Informatica</c:v>
                </c:pt>
              </c:strCache>
            </c:strRef>
          </c:tx>
          <c:dLbls>
            <c:dLbl>
              <c:idx val="0"/>
              <c:showVal val="1"/>
            </c:dLbl>
            <c:dLbl>
              <c:idx val="1"/>
              <c:showVal val="1"/>
            </c:dLbl>
            <c:delete val="1"/>
          </c:dLbls>
          <c:cat>
            <c:strRef>
              <c:f>Wallonië!$A$2:$A$5</c:f>
              <c:strCache>
                <c:ptCount val="4"/>
                <c:pt idx="0">
                  <c:v>100 wn en +</c:v>
                </c:pt>
                <c:pt idx="1">
                  <c:v>50-99 wn</c:v>
                </c:pt>
                <c:pt idx="2">
                  <c:v>10-49 wn</c:v>
                </c:pt>
                <c:pt idx="3">
                  <c:v>&lt;10 wn</c:v>
                </c:pt>
              </c:strCache>
            </c:strRef>
          </c:cat>
          <c:val>
            <c:numRef>
              <c:f>Wallonië!$D$2:$D$5</c:f>
              <c:numCache>
                <c:formatCode>General</c:formatCode>
                <c:ptCount val="4"/>
                <c:pt idx="0">
                  <c:v>4.4000000000000004</c:v>
                </c:pt>
                <c:pt idx="1">
                  <c:v>7.5</c:v>
                </c:pt>
                <c:pt idx="2">
                  <c:v>1.7</c:v>
                </c:pt>
                <c:pt idx="3">
                  <c:v>0.9</c:v>
                </c:pt>
              </c:numCache>
            </c:numRef>
          </c:val>
        </c:ser>
        <c:ser>
          <c:idx val="3"/>
          <c:order val="3"/>
          <c:tx>
            <c:strRef>
              <c:f>Wallonië!$E$1</c:f>
              <c:strCache>
                <c:ptCount val="1"/>
                <c:pt idx="0">
                  <c:v>Logistiek</c:v>
                </c:pt>
              </c:strCache>
            </c:strRef>
          </c:tx>
          <c:dLbls>
            <c:showVal val="1"/>
          </c:dLbls>
          <c:cat>
            <c:strRef>
              <c:f>Wallonië!$A$2:$A$5</c:f>
              <c:strCache>
                <c:ptCount val="4"/>
                <c:pt idx="0">
                  <c:v>100 wn en +</c:v>
                </c:pt>
                <c:pt idx="1">
                  <c:v>50-99 wn</c:v>
                </c:pt>
                <c:pt idx="2">
                  <c:v>10-49 wn</c:v>
                </c:pt>
                <c:pt idx="3">
                  <c:v>&lt;10 wn</c:v>
                </c:pt>
              </c:strCache>
            </c:strRef>
          </c:cat>
          <c:val>
            <c:numRef>
              <c:f>Wallonië!$E$2:$E$5</c:f>
              <c:numCache>
                <c:formatCode>General</c:formatCode>
                <c:ptCount val="4"/>
                <c:pt idx="0">
                  <c:v>8.3000000000000007</c:v>
                </c:pt>
                <c:pt idx="1">
                  <c:v>12.1</c:v>
                </c:pt>
                <c:pt idx="2">
                  <c:v>13.8</c:v>
                </c:pt>
                <c:pt idx="3">
                  <c:v>7</c:v>
                </c:pt>
              </c:numCache>
            </c:numRef>
          </c:val>
        </c:ser>
        <c:ser>
          <c:idx val="4"/>
          <c:order val="4"/>
          <c:tx>
            <c:strRef>
              <c:f>Wallonië!$F$1</c:f>
              <c:strCache>
                <c:ptCount val="1"/>
                <c:pt idx="0">
                  <c:v>Sectorspecifiek</c:v>
                </c:pt>
              </c:strCache>
            </c:strRef>
          </c:tx>
          <c:dLbls>
            <c:showVal val="1"/>
          </c:dLbls>
          <c:cat>
            <c:strRef>
              <c:f>Wallonië!$A$2:$A$5</c:f>
              <c:strCache>
                <c:ptCount val="4"/>
                <c:pt idx="0">
                  <c:v>100 wn en +</c:v>
                </c:pt>
                <c:pt idx="1">
                  <c:v>50-99 wn</c:v>
                </c:pt>
                <c:pt idx="2">
                  <c:v>10-49 wn</c:v>
                </c:pt>
                <c:pt idx="3">
                  <c:v>&lt;10 wn</c:v>
                </c:pt>
              </c:strCache>
            </c:strRef>
          </c:cat>
          <c:val>
            <c:numRef>
              <c:f>Wallonië!$F$2:$F$5</c:f>
              <c:numCache>
                <c:formatCode>General</c:formatCode>
                <c:ptCount val="4"/>
                <c:pt idx="0">
                  <c:v>39.200000000000003</c:v>
                </c:pt>
                <c:pt idx="1">
                  <c:v>50.7</c:v>
                </c:pt>
                <c:pt idx="2">
                  <c:v>51.8</c:v>
                </c:pt>
                <c:pt idx="3">
                  <c:v>76.3</c:v>
                </c:pt>
              </c:numCache>
            </c:numRef>
          </c:val>
        </c:ser>
        <c:ser>
          <c:idx val="5"/>
          <c:order val="5"/>
          <c:tx>
            <c:strRef>
              <c:f>Wallonië!$G$1</c:f>
              <c:strCache>
                <c:ptCount val="1"/>
                <c:pt idx="0">
                  <c:v>Talen</c:v>
                </c:pt>
              </c:strCache>
            </c:strRef>
          </c:tx>
          <c:dLbls>
            <c:dLbl>
              <c:idx val="0"/>
              <c:showVal val="1"/>
            </c:dLbl>
            <c:dLbl>
              <c:idx val="2"/>
              <c:showVal val="1"/>
            </c:dLbl>
            <c:delete val="1"/>
          </c:dLbls>
          <c:cat>
            <c:strRef>
              <c:f>Wallonië!$A$2:$A$5</c:f>
              <c:strCache>
                <c:ptCount val="4"/>
                <c:pt idx="0">
                  <c:v>100 wn en +</c:v>
                </c:pt>
                <c:pt idx="1">
                  <c:v>50-99 wn</c:v>
                </c:pt>
                <c:pt idx="2">
                  <c:v>10-49 wn</c:v>
                </c:pt>
                <c:pt idx="3">
                  <c:v>&lt;10 wn</c:v>
                </c:pt>
              </c:strCache>
            </c:strRef>
          </c:cat>
          <c:val>
            <c:numRef>
              <c:f>Wallonië!$G$2:$G$5</c:f>
              <c:numCache>
                <c:formatCode>General</c:formatCode>
                <c:ptCount val="4"/>
                <c:pt idx="0">
                  <c:v>9</c:v>
                </c:pt>
                <c:pt idx="1">
                  <c:v>3.2</c:v>
                </c:pt>
                <c:pt idx="2">
                  <c:v>6.3</c:v>
                </c:pt>
                <c:pt idx="3">
                  <c:v>0</c:v>
                </c:pt>
              </c:numCache>
            </c:numRef>
          </c:val>
        </c:ser>
        <c:ser>
          <c:idx val="6"/>
          <c:order val="6"/>
          <c:tx>
            <c:strRef>
              <c:f>Wallonië!$H$1</c:f>
              <c:strCache>
                <c:ptCount val="1"/>
                <c:pt idx="0">
                  <c:v>Techniek</c:v>
                </c:pt>
              </c:strCache>
            </c:strRef>
          </c:tx>
          <c:dLbls>
            <c:dLbl>
              <c:idx val="0"/>
              <c:showVal val="1"/>
            </c:dLbl>
            <c:dLbl>
              <c:idx val="3"/>
              <c:showVal val="1"/>
            </c:dLbl>
            <c:delete val="1"/>
          </c:dLbls>
          <c:cat>
            <c:strRef>
              <c:f>Wallonië!$A$2:$A$5</c:f>
              <c:strCache>
                <c:ptCount val="4"/>
                <c:pt idx="0">
                  <c:v>100 wn en +</c:v>
                </c:pt>
                <c:pt idx="1">
                  <c:v>50-99 wn</c:v>
                </c:pt>
                <c:pt idx="2">
                  <c:v>10-49 wn</c:v>
                </c:pt>
                <c:pt idx="3">
                  <c:v>&lt;10 wn</c:v>
                </c:pt>
              </c:strCache>
            </c:strRef>
          </c:cat>
          <c:val>
            <c:numRef>
              <c:f>Wallonië!$H$2:$H$5</c:f>
              <c:numCache>
                <c:formatCode>General</c:formatCode>
                <c:ptCount val="4"/>
                <c:pt idx="0">
                  <c:v>7.1</c:v>
                </c:pt>
                <c:pt idx="1">
                  <c:v>1.9000000000000001</c:v>
                </c:pt>
                <c:pt idx="2">
                  <c:v>3.2</c:v>
                </c:pt>
                <c:pt idx="3">
                  <c:v>15.8</c:v>
                </c:pt>
              </c:numCache>
            </c:numRef>
          </c:val>
        </c:ser>
        <c:ser>
          <c:idx val="7"/>
          <c:order val="7"/>
          <c:tx>
            <c:strRef>
              <c:f>Wallonië!$I$1</c:f>
              <c:strCache>
                <c:ptCount val="1"/>
                <c:pt idx="0">
                  <c:v>Veiligheid en Milieu</c:v>
                </c:pt>
              </c:strCache>
            </c:strRef>
          </c:tx>
          <c:dLbls>
            <c:showVal val="1"/>
          </c:dLbls>
          <c:cat>
            <c:strRef>
              <c:f>Wallonië!$A$2:$A$5</c:f>
              <c:strCache>
                <c:ptCount val="4"/>
                <c:pt idx="0">
                  <c:v>100 wn en +</c:v>
                </c:pt>
                <c:pt idx="1">
                  <c:v>50-99 wn</c:v>
                </c:pt>
                <c:pt idx="2">
                  <c:v>10-49 wn</c:v>
                </c:pt>
                <c:pt idx="3">
                  <c:v>&lt;10 wn</c:v>
                </c:pt>
              </c:strCache>
            </c:strRef>
          </c:cat>
          <c:val>
            <c:numRef>
              <c:f>Wallonië!$I$2:$I$5</c:f>
              <c:numCache>
                <c:formatCode>General</c:formatCode>
                <c:ptCount val="4"/>
                <c:pt idx="0">
                  <c:v>25.7</c:v>
                </c:pt>
                <c:pt idx="1">
                  <c:v>18.100000000000001</c:v>
                </c:pt>
                <c:pt idx="2">
                  <c:v>21</c:v>
                </c:pt>
                <c:pt idx="3">
                  <c:v>0</c:v>
                </c:pt>
              </c:numCache>
            </c:numRef>
          </c:val>
        </c:ser>
        <c:overlap val="100"/>
        <c:axId val="87693952"/>
        <c:axId val="87708032"/>
      </c:barChart>
      <c:catAx>
        <c:axId val="87693952"/>
        <c:scaling>
          <c:orientation val="minMax"/>
        </c:scaling>
        <c:axPos val="l"/>
        <c:tickLblPos val="nextTo"/>
        <c:crossAx val="87708032"/>
        <c:crosses val="autoZero"/>
        <c:auto val="1"/>
        <c:lblAlgn val="ctr"/>
        <c:lblOffset val="100"/>
      </c:catAx>
      <c:valAx>
        <c:axId val="87708032"/>
        <c:scaling>
          <c:orientation val="minMax"/>
        </c:scaling>
        <c:axPos val="b"/>
        <c:majorGridlines/>
        <c:title>
          <c:tx>
            <c:rich>
              <a:bodyPr/>
              <a:lstStyle/>
              <a:p>
                <a:pPr>
                  <a:defRPr/>
                </a:pPr>
                <a:r>
                  <a:rPr lang="en-US"/>
                  <a:t>verdeling</a:t>
                </a:r>
                <a:r>
                  <a:rPr lang="en-US" baseline="0"/>
                  <a:t> van de deelnemers</a:t>
                </a:r>
                <a:endParaRPr lang="en-US"/>
              </a:p>
            </c:rich>
          </c:tx>
        </c:title>
        <c:numFmt formatCode="0%" sourceLinked="1"/>
        <c:tickLblPos val="nextTo"/>
        <c:crossAx val="87693952"/>
        <c:crosses val="autoZero"/>
        <c:crossBetween val="between"/>
      </c:valAx>
    </c:plotArea>
    <c:legend>
      <c:legendPos val="b"/>
      <c:layout>
        <c:manualLayout>
          <c:xMode val="edge"/>
          <c:yMode val="edge"/>
          <c:x val="4.7343138711434703E-3"/>
          <c:y val="0.83306545772687957"/>
          <c:w val="0.99526568612885669"/>
          <c:h val="0.14006394655213725"/>
        </c:manualLayout>
      </c:layout>
      <c:spPr>
        <a:ln>
          <a:solidFill>
            <a:schemeClr val="tx1"/>
          </a:solidFill>
        </a:ln>
      </c:sp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BE"/>
  <c:chart>
    <c:autoTitleDeleted val="1"/>
    <c:plotArea>
      <c:layout/>
      <c:barChart>
        <c:barDir val="bar"/>
        <c:grouping val="percentStacked"/>
        <c:ser>
          <c:idx val="0"/>
          <c:order val="0"/>
          <c:tx>
            <c:strRef>
              <c:f>BHG!$B$1</c:f>
              <c:strCache>
                <c:ptCount val="1"/>
                <c:pt idx="0">
                  <c:v>Admin</c:v>
                </c:pt>
              </c:strCache>
            </c:strRef>
          </c:tx>
          <c:dLbls>
            <c:dLbl>
              <c:idx val="1"/>
              <c:layout/>
              <c:showVal val="1"/>
            </c:dLbl>
            <c:delete val="1"/>
          </c:dLbls>
          <c:val>
            <c:numRef>
              <c:f>BHG!$B$2:$B$5</c:f>
              <c:numCache>
                <c:formatCode>General</c:formatCode>
                <c:ptCount val="4"/>
                <c:pt idx="0">
                  <c:v>2.2000000000000002</c:v>
                </c:pt>
                <c:pt idx="1">
                  <c:v>8.5</c:v>
                </c:pt>
                <c:pt idx="2">
                  <c:v>2</c:v>
                </c:pt>
                <c:pt idx="3">
                  <c:v>0</c:v>
                </c:pt>
              </c:numCache>
            </c:numRef>
          </c:val>
        </c:ser>
        <c:ser>
          <c:idx val="1"/>
          <c:order val="1"/>
          <c:tx>
            <c:strRef>
              <c:f>BHG!$C$1</c:f>
              <c:strCache>
                <c:ptCount val="1"/>
                <c:pt idx="0">
                  <c:v>Communicatie</c:v>
                </c:pt>
              </c:strCache>
            </c:strRef>
          </c:tx>
          <c:dLbls>
            <c:dLbl>
              <c:idx val="0"/>
              <c:layout/>
              <c:showVal val="1"/>
            </c:dLbl>
            <c:delete val="1"/>
          </c:dLbls>
          <c:val>
            <c:numRef>
              <c:f>BHG!$C$2:$C$5</c:f>
              <c:numCache>
                <c:formatCode>General</c:formatCode>
                <c:ptCount val="4"/>
                <c:pt idx="0">
                  <c:v>12.7</c:v>
                </c:pt>
                <c:pt idx="1">
                  <c:v>2</c:v>
                </c:pt>
                <c:pt idx="2">
                  <c:v>0</c:v>
                </c:pt>
                <c:pt idx="3">
                  <c:v>0</c:v>
                </c:pt>
              </c:numCache>
            </c:numRef>
          </c:val>
        </c:ser>
        <c:ser>
          <c:idx val="2"/>
          <c:order val="2"/>
          <c:tx>
            <c:strRef>
              <c:f>BHG!$D$1</c:f>
              <c:strCache>
                <c:ptCount val="1"/>
                <c:pt idx="0">
                  <c:v>Informatica</c:v>
                </c:pt>
              </c:strCache>
            </c:strRef>
          </c:tx>
          <c:dLbls>
            <c:dLbl>
              <c:idx val="2"/>
              <c:delete val="1"/>
            </c:dLbl>
            <c:showVal val="1"/>
          </c:dLbls>
          <c:val>
            <c:numRef>
              <c:f>BHG!$D$2:$D$5</c:f>
              <c:numCache>
                <c:formatCode>General</c:formatCode>
                <c:ptCount val="4"/>
                <c:pt idx="0">
                  <c:v>10.6</c:v>
                </c:pt>
                <c:pt idx="1">
                  <c:v>4</c:v>
                </c:pt>
                <c:pt idx="2">
                  <c:v>0</c:v>
                </c:pt>
                <c:pt idx="3">
                  <c:v>0</c:v>
                </c:pt>
              </c:numCache>
            </c:numRef>
          </c:val>
        </c:ser>
        <c:ser>
          <c:idx val="3"/>
          <c:order val="3"/>
          <c:tx>
            <c:strRef>
              <c:f>BHG!$E$1</c:f>
              <c:strCache>
                <c:ptCount val="1"/>
                <c:pt idx="0">
                  <c:v>Logistiek</c:v>
                </c:pt>
              </c:strCache>
            </c:strRef>
          </c:tx>
          <c:val>
            <c:numRef>
              <c:f>BHG!$E$2:$E$5</c:f>
              <c:numCache>
                <c:formatCode>General</c:formatCode>
                <c:ptCount val="4"/>
                <c:pt idx="0">
                  <c:v>4.4000000000000004</c:v>
                </c:pt>
                <c:pt idx="1">
                  <c:v>7.5</c:v>
                </c:pt>
                <c:pt idx="2">
                  <c:v>2</c:v>
                </c:pt>
                <c:pt idx="3">
                  <c:v>0</c:v>
                </c:pt>
              </c:numCache>
            </c:numRef>
          </c:val>
        </c:ser>
        <c:ser>
          <c:idx val="4"/>
          <c:order val="4"/>
          <c:tx>
            <c:strRef>
              <c:f>BHG!$F$1</c:f>
              <c:strCache>
                <c:ptCount val="1"/>
                <c:pt idx="0">
                  <c:v>Sectorspecifiek</c:v>
                </c:pt>
              </c:strCache>
            </c:strRef>
          </c:tx>
          <c:dLbls>
            <c:showVal val="1"/>
          </c:dLbls>
          <c:val>
            <c:numRef>
              <c:f>BHG!$F$2:$F$5</c:f>
              <c:numCache>
                <c:formatCode>General</c:formatCode>
                <c:ptCount val="4"/>
                <c:pt idx="0">
                  <c:v>12.9</c:v>
                </c:pt>
                <c:pt idx="1">
                  <c:v>25.5</c:v>
                </c:pt>
                <c:pt idx="2">
                  <c:v>75.5</c:v>
                </c:pt>
                <c:pt idx="3">
                  <c:v>0</c:v>
                </c:pt>
              </c:numCache>
            </c:numRef>
          </c:val>
        </c:ser>
        <c:ser>
          <c:idx val="5"/>
          <c:order val="5"/>
          <c:tx>
            <c:strRef>
              <c:f>BHG!$G$1</c:f>
              <c:strCache>
                <c:ptCount val="1"/>
                <c:pt idx="0">
                  <c:v>Talen</c:v>
                </c:pt>
              </c:strCache>
            </c:strRef>
          </c:tx>
          <c:dLbls>
            <c:showVal val="1"/>
          </c:dLbls>
          <c:val>
            <c:numRef>
              <c:f>BHG!$G$2:$G$5</c:f>
              <c:numCache>
                <c:formatCode>General</c:formatCode>
                <c:ptCount val="4"/>
                <c:pt idx="0">
                  <c:v>47.2</c:v>
                </c:pt>
                <c:pt idx="1">
                  <c:v>46</c:v>
                </c:pt>
                <c:pt idx="2">
                  <c:v>20.399999999999999</c:v>
                </c:pt>
                <c:pt idx="3">
                  <c:v>0</c:v>
                </c:pt>
              </c:numCache>
            </c:numRef>
          </c:val>
        </c:ser>
        <c:ser>
          <c:idx val="6"/>
          <c:order val="6"/>
          <c:tx>
            <c:strRef>
              <c:f>BHG!$H$1</c:f>
              <c:strCache>
                <c:ptCount val="1"/>
                <c:pt idx="0">
                  <c:v>Techniek</c:v>
                </c:pt>
              </c:strCache>
            </c:strRef>
          </c:tx>
          <c:val>
            <c:numRef>
              <c:f>BHG!$H$2:$H$5</c:f>
              <c:numCache>
                <c:formatCode>General</c:formatCode>
                <c:ptCount val="4"/>
                <c:pt idx="0">
                  <c:v>3.5</c:v>
                </c:pt>
                <c:pt idx="1">
                  <c:v>0</c:v>
                </c:pt>
                <c:pt idx="2">
                  <c:v>0</c:v>
                </c:pt>
                <c:pt idx="3">
                  <c:v>0</c:v>
                </c:pt>
              </c:numCache>
            </c:numRef>
          </c:val>
        </c:ser>
        <c:ser>
          <c:idx val="7"/>
          <c:order val="7"/>
          <c:tx>
            <c:strRef>
              <c:f>BHG!$I$1</c:f>
              <c:strCache>
                <c:ptCount val="1"/>
                <c:pt idx="0">
                  <c:v>Veiligheid en Milieu</c:v>
                </c:pt>
              </c:strCache>
            </c:strRef>
          </c:tx>
          <c:dLbls>
            <c:showVal val="1"/>
          </c:dLbls>
          <c:val>
            <c:numRef>
              <c:f>BHG!$I$2:$I$5</c:f>
              <c:numCache>
                <c:formatCode>General</c:formatCode>
                <c:ptCount val="4"/>
                <c:pt idx="0">
                  <c:v>6.4</c:v>
                </c:pt>
                <c:pt idx="1">
                  <c:v>6.5</c:v>
                </c:pt>
                <c:pt idx="2">
                  <c:v>0</c:v>
                </c:pt>
                <c:pt idx="3">
                  <c:v>0</c:v>
                </c:pt>
              </c:numCache>
            </c:numRef>
          </c:val>
        </c:ser>
        <c:overlap val="100"/>
        <c:axId val="87846912"/>
        <c:axId val="87848448"/>
      </c:barChart>
      <c:catAx>
        <c:axId val="87846912"/>
        <c:scaling>
          <c:orientation val="minMax"/>
        </c:scaling>
        <c:axPos val="l"/>
        <c:tickLblPos val="nextTo"/>
        <c:crossAx val="87848448"/>
        <c:crosses val="autoZero"/>
        <c:auto val="1"/>
        <c:lblAlgn val="ctr"/>
        <c:lblOffset val="100"/>
      </c:catAx>
      <c:valAx>
        <c:axId val="87848448"/>
        <c:scaling>
          <c:orientation val="minMax"/>
        </c:scaling>
        <c:axPos val="b"/>
        <c:majorGridlines/>
        <c:title>
          <c:tx>
            <c:rich>
              <a:bodyPr/>
              <a:lstStyle/>
              <a:p>
                <a:pPr>
                  <a:defRPr/>
                </a:pPr>
                <a:r>
                  <a:rPr lang="en-US"/>
                  <a:t>verdeling</a:t>
                </a:r>
                <a:r>
                  <a:rPr lang="en-US" baseline="0"/>
                  <a:t> van de deelnemers</a:t>
                </a:r>
                <a:endParaRPr lang="en-US"/>
              </a:p>
            </c:rich>
          </c:tx>
          <c:layout/>
        </c:title>
        <c:numFmt formatCode="0%" sourceLinked="1"/>
        <c:tickLblPos val="nextTo"/>
        <c:crossAx val="87846912"/>
        <c:crosses val="autoZero"/>
        <c:crossBetween val="between"/>
      </c:valAx>
    </c:plotArea>
    <c:legend>
      <c:legendPos val="b"/>
      <c:layout>
        <c:manualLayout>
          <c:xMode val="edge"/>
          <c:yMode val="edge"/>
          <c:x val="4.7343138711434703E-3"/>
          <c:y val="0.83306545772687934"/>
          <c:w val="0.99513230657488572"/>
          <c:h val="0.14006394655213725"/>
        </c:manualLayout>
      </c:layout>
      <c:spPr>
        <a:ln>
          <a:solidFill>
            <a:schemeClr val="tx1"/>
          </a:solidFill>
        </a:ln>
      </c:sp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E887E-75D5-4CFA-B907-AD759772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39</Pages>
  <Words>12008</Words>
  <Characters>68975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1998</vt:lpstr>
    </vt:vector>
  </TitlesOfParts>
  <Company> IPV-IFP</Company>
  <LinksUpToDate>false</LinksUpToDate>
  <CharactersWithSpaces>80822</CharactersWithSpaces>
  <SharedDoc>false</SharedDoc>
  <HLinks>
    <vt:vector size="186" baseType="variant">
      <vt:variant>
        <vt:i4>1114161</vt:i4>
      </vt:variant>
      <vt:variant>
        <vt:i4>182</vt:i4>
      </vt:variant>
      <vt:variant>
        <vt:i4>0</vt:i4>
      </vt:variant>
      <vt:variant>
        <vt:i4>5</vt:i4>
      </vt:variant>
      <vt:variant>
        <vt:lpwstr/>
      </vt:variant>
      <vt:variant>
        <vt:lpwstr>_Toc263173725</vt:lpwstr>
      </vt:variant>
      <vt:variant>
        <vt:i4>1114161</vt:i4>
      </vt:variant>
      <vt:variant>
        <vt:i4>176</vt:i4>
      </vt:variant>
      <vt:variant>
        <vt:i4>0</vt:i4>
      </vt:variant>
      <vt:variant>
        <vt:i4>5</vt:i4>
      </vt:variant>
      <vt:variant>
        <vt:lpwstr/>
      </vt:variant>
      <vt:variant>
        <vt:lpwstr>_Toc263173724</vt:lpwstr>
      </vt:variant>
      <vt:variant>
        <vt:i4>1114161</vt:i4>
      </vt:variant>
      <vt:variant>
        <vt:i4>170</vt:i4>
      </vt:variant>
      <vt:variant>
        <vt:i4>0</vt:i4>
      </vt:variant>
      <vt:variant>
        <vt:i4>5</vt:i4>
      </vt:variant>
      <vt:variant>
        <vt:lpwstr/>
      </vt:variant>
      <vt:variant>
        <vt:lpwstr>_Toc263173723</vt:lpwstr>
      </vt:variant>
      <vt:variant>
        <vt:i4>1114161</vt:i4>
      </vt:variant>
      <vt:variant>
        <vt:i4>164</vt:i4>
      </vt:variant>
      <vt:variant>
        <vt:i4>0</vt:i4>
      </vt:variant>
      <vt:variant>
        <vt:i4>5</vt:i4>
      </vt:variant>
      <vt:variant>
        <vt:lpwstr/>
      </vt:variant>
      <vt:variant>
        <vt:lpwstr>_Toc263173722</vt:lpwstr>
      </vt:variant>
      <vt:variant>
        <vt:i4>1114161</vt:i4>
      </vt:variant>
      <vt:variant>
        <vt:i4>158</vt:i4>
      </vt:variant>
      <vt:variant>
        <vt:i4>0</vt:i4>
      </vt:variant>
      <vt:variant>
        <vt:i4>5</vt:i4>
      </vt:variant>
      <vt:variant>
        <vt:lpwstr/>
      </vt:variant>
      <vt:variant>
        <vt:lpwstr>_Toc263173721</vt:lpwstr>
      </vt:variant>
      <vt:variant>
        <vt:i4>1114161</vt:i4>
      </vt:variant>
      <vt:variant>
        <vt:i4>152</vt:i4>
      </vt:variant>
      <vt:variant>
        <vt:i4>0</vt:i4>
      </vt:variant>
      <vt:variant>
        <vt:i4>5</vt:i4>
      </vt:variant>
      <vt:variant>
        <vt:lpwstr/>
      </vt:variant>
      <vt:variant>
        <vt:lpwstr>_Toc263173720</vt:lpwstr>
      </vt:variant>
      <vt:variant>
        <vt:i4>1179697</vt:i4>
      </vt:variant>
      <vt:variant>
        <vt:i4>146</vt:i4>
      </vt:variant>
      <vt:variant>
        <vt:i4>0</vt:i4>
      </vt:variant>
      <vt:variant>
        <vt:i4>5</vt:i4>
      </vt:variant>
      <vt:variant>
        <vt:lpwstr/>
      </vt:variant>
      <vt:variant>
        <vt:lpwstr>_Toc263173719</vt:lpwstr>
      </vt:variant>
      <vt:variant>
        <vt:i4>1179697</vt:i4>
      </vt:variant>
      <vt:variant>
        <vt:i4>140</vt:i4>
      </vt:variant>
      <vt:variant>
        <vt:i4>0</vt:i4>
      </vt:variant>
      <vt:variant>
        <vt:i4>5</vt:i4>
      </vt:variant>
      <vt:variant>
        <vt:lpwstr/>
      </vt:variant>
      <vt:variant>
        <vt:lpwstr>_Toc263173718</vt:lpwstr>
      </vt:variant>
      <vt:variant>
        <vt:i4>1179697</vt:i4>
      </vt:variant>
      <vt:variant>
        <vt:i4>134</vt:i4>
      </vt:variant>
      <vt:variant>
        <vt:i4>0</vt:i4>
      </vt:variant>
      <vt:variant>
        <vt:i4>5</vt:i4>
      </vt:variant>
      <vt:variant>
        <vt:lpwstr/>
      </vt:variant>
      <vt:variant>
        <vt:lpwstr>_Toc263173717</vt:lpwstr>
      </vt:variant>
      <vt:variant>
        <vt:i4>1179697</vt:i4>
      </vt:variant>
      <vt:variant>
        <vt:i4>128</vt:i4>
      </vt:variant>
      <vt:variant>
        <vt:i4>0</vt:i4>
      </vt:variant>
      <vt:variant>
        <vt:i4>5</vt:i4>
      </vt:variant>
      <vt:variant>
        <vt:lpwstr/>
      </vt:variant>
      <vt:variant>
        <vt:lpwstr>_Toc263173716</vt:lpwstr>
      </vt:variant>
      <vt:variant>
        <vt:i4>1179697</vt:i4>
      </vt:variant>
      <vt:variant>
        <vt:i4>122</vt:i4>
      </vt:variant>
      <vt:variant>
        <vt:i4>0</vt:i4>
      </vt:variant>
      <vt:variant>
        <vt:i4>5</vt:i4>
      </vt:variant>
      <vt:variant>
        <vt:lpwstr/>
      </vt:variant>
      <vt:variant>
        <vt:lpwstr>_Toc263173715</vt:lpwstr>
      </vt:variant>
      <vt:variant>
        <vt:i4>1179697</vt:i4>
      </vt:variant>
      <vt:variant>
        <vt:i4>116</vt:i4>
      </vt:variant>
      <vt:variant>
        <vt:i4>0</vt:i4>
      </vt:variant>
      <vt:variant>
        <vt:i4>5</vt:i4>
      </vt:variant>
      <vt:variant>
        <vt:lpwstr/>
      </vt:variant>
      <vt:variant>
        <vt:lpwstr>_Toc263173714</vt:lpwstr>
      </vt:variant>
      <vt:variant>
        <vt:i4>1179697</vt:i4>
      </vt:variant>
      <vt:variant>
        <vt:i4>110</vt:i4>
      </vt:variant>
      <vt:variant>
        <vt:i4>0</vt:i4>
      </vt:variant>
      <vt:variant>
        <vt:i4>5</vt:i4>
      </vt:variant>
      <vt:variant>
        <vt:lpwstr/>
      </vt:variant>
      <vt:variant>
        <vt:lpwstr>_Toc263173713</vt:lpwstr>
      </vt:variant>
      <vt:variant>
        <vt:i4>1179697</vt:i4>
      </vt:variant>
      <vt:variant>
        <vt:i4>104</vt:i4>
      </vt:variant>
      <vt:variant>
        <vt:i4>0</vt:i4>
      </vt:variant>
      <vt:variant>
        <vt:i4>5</vt:i4>
      </vt:variant>
      <vt:variant>
        <vt:lpwstr/>
      </vt:variant>
      <vt:variant>
        <vt:lpwstr>_Toc263173712</vt:lpwstr>
      </vt:variant>
      <vt:variant>
        <vt:i4>1179697</vt:i4>
      </vt:variant>
      <vt:variant>
        <vt:i4>98</vt:i4>
      </vt:variant>
      <vt:variant>
        <vt:i4>0</vt:i4>
      </vt:variant>
      <vt:variant>
        <vt:i4>5</vt:i4>
      </vt:variant>
      <vt:variant>
        <vt:lpwstr/>
      </vt:variant>
      <vt:variant>
        <vt:lpwstr>_Toc263173711</vt:lpwstr>
      </vt:variant>
      <vt:variant>
        <vt:i4>1179697</vt:i4>
      </vt:variant>
      <vt:variant>
        <vt:i4>92</vt:i4>
      </vt:variant>
      <vt:variant>
        <vt:i4>0</vt:i4>
      </vt:variant>
      <vt:variant>
        <vt:i4>5</vt:i4>
      </vt:variant>
      <vt:variant>
        <vt:lpwstr/>
      </vt:variant>
      <vt:variant>
        <vt:lpwstr>_Toc263173710</vt:lpwstr>
      </vt:variant>
      <vt:variant>
        <vt:i4>1245233</vt:i4>
      </vt:variant>
      <vt:variant>
        <vt:i4>86</vt:i4>
      </vt:variant>
      <vt:variant>
        <vt:i4>0</vt:i4>
      </vt:variant>
      <vt:variant>
        <vt:i4>5</vt:i4>
      </vt:variant>
      <vt:variant>
        <vt:lpwstr/>
      </vt:variant>
      <vt:variant>
        <vt:lpwstr>_Toc263173709</vt:lpwstr>
      </vt:variant>
      <vt:variant>
        <vt:i4>1245233</vt:i4>
      </vt:variant>
      <vt:variant>
        <vt:i4>80</vt:i4>
      </vt:variant>
      <vt:variant>
        <vt:i4>0</vt:i4>
      </vt:variant>
      <vt:variant>
        <vt:i4>5</vt:i4>
      </vt:variant>
      <vt:variant>
        <vt:lpwstr/>
      </vt:variant>
      <vt:variant>
        <vt:lpwstr>_Toc263173708</vt:lpwstr>
      </vt:variant>
      <vt:variant>
        <vt:i4>1245233</vt:i4>
      </vt:variant>
      <vt:variant>
        <vt:i4>74</vt:i4>
      </vt:variant>
      <vt:variant>
        <vt:i4>0</vt:i4>
      </vt:variant>
      <vt:variant>
        <vt:i4>5</vt:i4>
      </vt:variant>
      <vt:variant>
        <vt:lpwstr/>
      </vt:variant>
      <vt:variant>
        <vt:lpwstr>_Toc263173707</vt:lpwstr>
      </vt:variant>
      <vt:variant>
        <vt:i4>1245233</vt:i4>
      </vt:variant>
      <vt:variant>
        <vt:i4>68</vt:i4>
      </vt:variant>
      <vt:variant>
        <vt:i4>0</vt:i4>
      </vt:variant>
      <vt:variant>
        <vt:i4>5</vt:i4>
      </vt:variant>
      <vt:variant>
        <vt:lpwstr/>
      </vt:variant>
      <vt:variant>
        <vt:lpwstr>_Toc263173706</vt:lpwstr>
      </vt:variant>
      <vt:variant>
        <vt:i4>1245233</vt:i4>
      </vt:variant>
      <vt:variant>
        <vt:i4>62</vt:i4>
      </vt:variant>
      <vt:variant>
        <vt:i4>0</vt:i4>
      </vt:variant>
      <vt:variant>
        <vt:i4>5</vt:i4>
      </vt:variant>
      <vt:variant>
        <vt:lpwstr/>
      </vt:variant>
      <vt:variant>
        <vt:lpwstr>_Toc263173705</vt:lpwstr>
      </vt:variant>
      <vt:variant>
        <vt:i4>1245233</vt:i4>
      </vt:variant>
      <vt:variant>
        <vt:i4>56</vt:i4>
      </vt:variant>
      <vt:variant>
        <vt:i4>0</vt:i4>
      </vt:variant>
      <vt:variant>
        <vt:i4>5</vt:i4>
      </vt:variant>
      <vt:variant>
        <vt:lpwstr/>
      </vt:variant>
      <vt:variant>
        <vt:lpwstr>_Toc263173704</vt:lpwstr>
      </vt:variant>
      <vt:variant>
        <vt:i4>1245233</vt:i4>
      </vt:variant>
      <vt:variant>
        <vt:i4>50</vt:i4>
      </vt:variant>
      <vt:variant>
        <vt:i4>0</vt:i4>
      </vt:variant>
      <vt:variant>
        <vt:i4>5</vt:i4>
      </vt:variant>
      <vt:variant>
        <vt:lpwstr/>
      </vt:variant>
      <vt:variant>
        <vt:lpwstr>_Toc263173703</vt:lpwstr>
      </vt:variant>
      <vt:variant>
        <vt:i4>1245233</vt:i4>
      </vt:variant>
      <vt:variant>
        <vt:i4>44</vt:i4>
      </vt:variant>
      <vt:variant>
        <vt:i4>0</vt:i4>
      </vt:variant>
      <vt:variant>
        <vt:i4>5</vt:i4>
      </vt:variant>
      <vt:variant>
        <vt:lpwstr/>
      </vt:variant>
      <vt:variant>
        <vt:lpwstr>_Toc263173702</vt:lpwstr>
      </vt:variant>
      <vt:variant>
        <vt:i4>1245233</vt:i4>
      </vt:variant>
      <vt:variant>
        <vt:i4>38</vt:i4>
      </vt:variant>
      <vt:variant>
        <vt:i4>0</vt:i4>
      </vt:variant>
      <vt:variant>
        <vt:i4>5</vt:i4>
      </vt:variant>
      <vt:variant>
        <vt:lpwstr/>
      </vt:variant>
      <vt:variant>
        <vt:lpwstr>_Toc263173701</vt:lpwstr>
      </vt:variant>
      <vt:variant>
        <vt:i4>1245233</vt:i4>
      </vt:variant>
      <vt:variant>
        <vt:i4>32</vt:i4>
      </vt:variant>
      <vt:variant>
        <vt:i4>0</vt:i4>
      </vt:variant>
      <vt:variant>
        <vt:i4>5</vt:i4>
      </vt:variant>
      <vt:variant>
        <vt:lpwstr/>
      </vt:variant>
      <vt:variant>
        <vt:lpwstr>_Toc263173700</vt:lpwstr>
      </vt:variant>
      <vt:variant>
        <vt:i4>1703984</vt:i4>
      </vt:variant>
      <vt:variant>
        <vt:i4>26</vt:i4>
      </vt:variant>
      <vt:variant>
        <vt:i4>0</vt:i4>
      </vt:variant>
      <vt:variant>
        <vt:i4>5</vt:i4>
      </vt:variant>
      <vt:variant>
        <vt:lpwstr/>
      </vt:variant>
      <vt:variant>
        <vt:lpwstr>_Toc263173699</vt:lpwstr>
      </vt:variant>
      <vt:variant>
        <vt:i4>1703984</vt:i4>
      </vt:variant>
      <vt:variant>
        <vt:i4>20</vt:i4>
      </vt:variant>
      <vt:variant>
        <vt:i4>0</vt:i4>
      </vt:variant>
      <vt:variant>
        <vt:i4>5</vt:i4>
      </vt:variant>
      <vt:variant>
        <vt:lpwstr/>
      </vt:variant>
      <vt:variant>
        <vt:lpwstr>_Toc263173698</vt:lpwstr>
      </vt:variant>
      <vt:variant>
        <vt:i4>1703984</vt:i4>
      </vt:variant>
      <vt:variant>
        <vt:i4>14</vt:i4>
      </vt:variant>
      <vt:variant>
        <vt:i4>0</vt:i4>
      </vt:variant>
      <vt:variant>
        <vt:i4>5</vt:i4>
      </vt:variant>
      <vt:variant>
        <vt:lpwstr/>
      </vt:variant>
      <vt:variant>
        <vt:lpwstr>_Toc263173697</vt:lpwstr>
      </vt:variant>
      <vt:variant>
        <vt:i4>1703984</vt:i4>
      </vt:variant>
      <vt:variant>
        <vt:i4>8</vt:i4>
      </vt:variant>
      <vt:variant>
        <vt:i4>0</vt:i4>
      </vt:variant>
      <vt:variant>
        <vt:i4>5</vt:i4>
      </vt:variant>
      <vt:variant>
        <vt:lpwstr/>
      </vt:variant>
      <vt:variant>
        <vt:lpwstr>_Toc263173696</vt:lpwstr>
      </vt:variant>
      <vt:variant>
        <vt:i4>1703984</vt:i4>
      </vt:variant>
      <vt:variant>
        <vt:i4>2</vt:i4>
      </vt:variant>
      <vt:variant>
        <vt:i4>0</vt:i4>
      </vt:variant>
      <vt:variant>
        <vt:i4>5</vt:i4>
      </vt:variant>
      <vt:variant>
        <vt:lpwstr/>
      </vt:variant>
      <vt:variant>
        <vt:lpwstr>_Toc263173695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dc:title>
  <dc:subject/>
  <dc:creator>HDEJ</dc:creator>
  <cp:keywords/>
  <dc:description/>
  <cp:lastModifiedBy>Ellen Fels</cp:lastModifiedBy>
  <cp:revision>40</cp:revision>
  <cp:lastPrinted>2010-07-26T08:27:00Z</cp:lastPrinted>
  <dcterms:created xsi:type="dcterms:W3CDTF">2010-07-27T13:54:00Z</dcterms:created>
  <dcterms:modified xsi:type="dcterms:W3CDTF">2010-08-13T13:05:00Z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-833444716</vt:i4>
  </property>
</Properties>
</file>